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spacing w:line="240" w:lineRule="auto"/>
        <w:ind w:right="851"/>
        <w:rPr>
          <w:rFonts w:cs="Arial"/>
          <w:bCs/>
        </w:rPr>
      </w:pPr>
      <w:r>
        <w:rPr>
          <w:rFonts w:cs="Arial"/>
          <w:bCs/>
        </w:rPr>
        <w:t xml:space="preserve">Muster einer Verordnung zur Festsetzung von Wasserschutzgebieten </w:t>
      </w:r>
    </w:p>
    <w:p>
      <w:pPr>
        <w:ind w:right="851"/>
        <w:jc w:val="center"/>
        <w:rPr>
          <w:rFonts w:ascii="Arial" w:hAnsi="Arial" w:cs="Arial"/>
          <w:b/>
          <w:bCs/>
          <w:sz w:val="24"/>
          <w:u w:val="single"/>
        </w:rPr>
      </w:pPr>
      <w:r>
        <w:rPr>
          <w:rFonts w:ascii="Arial" w:hAnsi="Arial" w:cs="Arial"/>
          <w:b/>
          <w:bCs/>
          <w:sz w:val="24"/>
        </w:rPr>
        <w:t xml:space="preserve">im Land Mecklenburg-Vorpommern </w:t>
      </w:r>
      <w:r>
        <w:rPr>
          <w:rFonts w:ascii="Arial" w:hAnsi="Arial" w:cs="Arial"/>
          <w:b/>
          <w:bCs/>
          <w:sz w:val="24"/>
          <w:u w:val="single"/>
        </w:rPr>
        <w:t>(</w:t>
      </w:r>
      <w:proofErr w:type="spellStart"/>
      <w:r>
        <w:rPr>
          <w:rFonts w:ascii="Arial" w:hAnsi="Arial" w:cs="Arial"/>
          <w:b/>
          <w:bCs/>
          <w:sz w:val="24"/>
          <w:u w:val="single"/>
        </w:rPr>
        <w:t>MusterVO</w:t>
      </w:r>
      <w:proofErr w:type="spellEnd"/>
      <w:r>
        <w:rPr>
          <w:rFonts w:ascii="Arial" w:hAnsi="Arial" w:cs="Arial"/>
          <w:b/>
          <w:bCs/>
          <w:sz w:val="24"/>
          <w:u w:val="single"/>
        </w:rPr>
        <w:t>)</w:t>
      </w:r>
    </w:p>
    <w:p>
      <w:pPr>
        <w:ind w:right="851"/>
        <w:jc w:val="center"/>
        <w:rPr>
          <w:rFonts w:ascii="Arial" w:hAnsi="Arial" w:cs="Arial"/>
          <w:b/>
          <w:bCs/>
          <w:sz w:val="24"/>
        </w:rPr>
      </w:pPr>
    </w:p>
    <w:p>
      <w:pPr>
        <w:spacing w:line="240" w:lineRule="exact"/>
        <w:ind w:right="851"/>
        <w:jc w:val="center"/>
        <w:rPr>
          <w:rFonts w:ascii="Arial" w:hAnsi="Arial"/>
          <w:b/>
          <w:sz w:val="24"/>
        </w:rPr>
      </w:pPr>
      <w:r>
        <w:rPr>
          <w:rFonts w:ascii="Arial" w:hAnsi="Arial"/>
          <w:b/>
          <w:sz w:val="24"/>
        </w:rPr>
        <w:t xml:space="preserve">Verordnung zur Festsetzung des Wasserschutzgebietes für die Wasserfassung ... </w:t>
      </w:r>
      <w:r>
        <w:rPr>
          <w:rFonts w:ascii="Arial" w:hAnsi="Arial"/>
          <w:i/>
          <w:sz w:val="24"/>
        </w:rPr>
        <w:t xml:space="preserve">(Bezeichnung des Wasserwerkes) </w:t>
      </w:r>
      <w:r>
        <w:rPr>
          <w:rFonts w:ascii="Arial" w:hAnsi="Arial"/>
          <w:b/>
          <w:sz w:val="24"/>
        </w:rPr>
        <w:t>(Wasserschutzgebietsverordnung</w:t>
      </w:r>
      <w:r>
        <w:rPr>
          <w:rFonts w:ascii="Arial" w:hAnsi="Arial"/>
          <w:i/>
          <w:sz w:val="24"/>
        </w:rPr>
        <w:t xml:space="preserve"> (Bezeichnung des Wasserschutzgebietes)</w:t>
      </w:r>
      <w:r>
        <w:rPr>
          <w:rFonts w:ascii="Arial" w:hAnsi="Arial"/>
          <w:b/>
          <w:sz w:val="24"/>
        </w:rPr>
        <w:t xml:space="preserve"> - WSGVO </w:t>
      </w:r>
      <w:r>
        <w:rPr>
          <w:rFonts w:ascii="Arial" w:hAnsi="Arial"/>
          <w:i/>
          <w:sz w:val="24"/>
        </w:rPr>
        <w:t>(Bezeichnung des Wasserschutzgebietes)</w:t>
      </w:r>
      <w:r>
        <w:rPr>
          <w:rFonts w:ascii="Arial" w:hAnsi="Arial"/>
          <w:b/>
          <w:sz w:val="24"/>
        </w:rPr>
        <w:t>)</w:t>
      </w:r>
    </w:p>
    <w:p>
      <w:pPr>
        <w:spacing w:line="240" w:lineRule="exact"/>
        <w:ind w:right="851"/>
        <w:jc w:val="center"/>
        <w:rPr>
          <w:rFonts w:ascii="Arial" w:hAnsi="Arial"/>
          <w:b/>
        </w:rPr>
      </w:pPr>
    </w:p>
    <w:p>
      <w:pPr>
        <w:spacing w:line="240" w:lineRule="exact"/>
        <w:ind w:right="851"/>
        <w:jc w:val="center"/>
        <w:rPr>
          <w:rFonts w:ascii="Arial" w:hAnsi="Arial"/>
          <w:bCs/>
          <w:sz w:val="22"/>
        </w:rPr>
      </w:pPr>
      <w:r>
        <w:rPr>
          <w:rFonts w:ascii="Arial" w:hAnsi="Arial"/>
          <w:b/>
          <w:sz w:val="24"/>
        </w:rPr>
        <w:t xml:space="preserve">Vom ... </w:t>
      </w:r>
    </w:p>
    <w:p>
      <w:pPr>
        <w:spacing w:line="240" w:lineRule="exact"/>
        <w:ind w:right="851"/>
        <w:rPr>
          <w:rFonts w:ascii="Arial" w:hAnsi="Arial"/>
          <w:bCs/>
          <w:sz w:val="22"/>
        </w:rPr>
      </w:pPr>
    </w:p>
    <w:p>
      <w:pPr>
        <w:spacing w:line="240" w:lineRule="exact"/>
        <w:ind w:right="851"/>
        <w:rPr>
          <w:rFonts w:ascii="Arial" w:hAnsi="Arial"/>
          <w:bCs/>
          <w:sz w:val="22"/>
        </w:rPr>
      </w:pPr>
      <w:r>
        <w:rPr>
          <w:rFonts w:ascii="Arial" w:hAnsi="Arial"/>
          <w:bCs/>
          <w:sz w:val="22"/>
        </w:rPr>
        <w:t>(Hinweise für Bearbeiter/-innen sind im Text der Musterverordnung in Klammern und kursiv gedruckt)</w:t>
      </w:r>
      <w:r>
        <w:t xml:space="preserve"> </w:t>
      </w:r>
    </w:p>
    <w:p>
      <w:pPr>
        <w:ind w:right="851"/>
        <w:rPr>
          <w:rFonts w:cs="Arial"/>
          <w:szCs w:val="22"/>
        </w:rPr>
      </w:pPr>
    </w:p>
    <w:p>
      <w:pPr>
        <w:jc w:val="both"/>
        <w:rPr>
          <w:rFonts w:ascii="Arial" w:hAnsi="Arial" w:cs="Arial"/>
          <w:b/>
          <w:sz w:val="22"/>
          <w:szCs w:val="22"/>
        </w:rPr>
      </w:pPr>
      <w:r>
        <w:rPr>
          <w:rFonts w:ascii="Arial" w:hAnsi="Arial" w:cs="Arial"/>
          <w:sz w:val="22"/>
          <w:szCs w:val="22"/>
        </w:rPr>
        <w:t>Das Ministerium für Klimaschutz, Landwirtschaft, ländliche Räume und Umwelt verordnet aufgrund des § 51 Absatz 1 Satz 1 in Verbindung mit Satz 2 und Absatz 2 sowie § 52 Absatz 1 Satz 1 des Wasserhaushaltsgesetzes vom 31. Juli 2009 (BGBl. I S. 2585), das zuletzt durch Artikel 7 des Gesetzes vom 22. Dezember 2023 (BGBl. 2023 I Nr. 409) geändert worden ist, und aufgrund des § 107 Absatz 2 Satz 1 Nummer 1 Buchstabe a des Wassergesetzes des Landes Mecklenburg-Vorpommern vom 30. November 1992 (</w:t>
      </w:r>
      <w:proofErr w:type="spellStart"/>
      <w:r>
        <w:rPr>
          <w:rFonts w:ascii="Arial" w:hAnsi="Arial" w:cs="Arial"/>
          <w:sz w:val="22"/>
          <w:szCs w:val="22"/>
        </w:rPr>
        <w:t>GVOBl</w:t>
      </w:r>
      <w:proofErr w:type="spellEnd"/>
      <w:r>
        <w:rPr>
          <w:rFonts w:ascii="Arial" w:hAnsi="Arial" w:cs="Arial"/>
          <w:sz w:val="22"/>
          <w:szCs w:val="22"/>
        </w:rPr>
        <w:t xml:space="preserve">. M-V S. 669), das </w:t>
      </w:r>
      <w:r>
        <w:rPr>
          <w:rFonts w:ascii="Arial" w:hAnsi="Arial" w:cs="Arial"/>
          <w:color w:val="000000"/>
          <w:sz w:val="22"/>
          <w:szCs w:val="22"/>
          <w:shd w:val="clear" w:color="auto" w:fill="FFFFFF"/>
        </w:rPr>
        <w:t>zuletzt durch Artikel 9 des Gesetzes vom 14. Mai 2024 (</w:t>
      </w:r>
      <w:proofErr w:type="spellStart"/>
      <w:r>
        <w:rPr>
          <w:rFonts w:ascii="Arial" w:hAnsi="Arial" w:cs="Arial"/>
          <w:color w:val="000000"/>
          <w:sz w:val="22"/>
          <w:szCs w:val="22"/>
          <w:shd w:val="clear" w:color="auto" w:fill="FFFFFF"/>
        </w:rPr>
        <w:t>GVOBl</w:t>
      </w:r>
      <w:proofErr w:type="spellEnd"/>
      <w:r>
        <w:rPr>
          <w:rFonts w:ascii="Arial" w:hAnsi="Arial" w:cs="Arial"/>
          <w:color w:val="000000"/>
          <w:sz w:val="22"/>
          <w:szCs w:val="22"/>
          <w:shd w:val="clear" w:color="auto" w:fill="FFFFFF"/>
        </w:rPr>
        <w:t>. M-V S. 154, 184) geändert worden ist</w:t>
      </w:r>
      <w:r>
        <w:rPr>
          <w:rFonts w:ascii="Arial" w:hAnsi="Arial" w:cs="Arial"/>
          <w:sz w:val="22"/>
          <w:szCs w:val="22"/>
        </w:rPr>
        <w:t>:</w:t>
      </w:r>
    </w:p>
    <w:p>
      <w:pPr>
        <w:spacing w:line="240" w:lineRule="exact"/>
        <w:ind w:right="851"/>
        <w:jc w:val="center"/>
        <w:rPr>
          <w:rFonts w:ascii="Arial" w:hAnsi="Arial"/>
          <w:b/>
          <w:sz w:val="24"/>
        </w:rPr>
      </w:pPr>
    </w:p>
    <w:p>
      <w:pPr>
        <w:spacing w:line="240" w:lineRule="exact"/>
        <w:ind w:right="851"/>
        <w:jc w:val="center"/>
        <w:rPr>
          <w:rFonts w:ascii="Arial" w:hAnsi="Arial"/>
          <w:b/>
          <w:sz w:val="24"/>
        </w:rPr>
      </w:pPr>
      <w:r>
        <w:rPr>
          <w:rFonts w:ascii="Arial" w:hAnsi="Arial"/>
          <w:b/>
          <w:sz w:val="24"/>
        </w:rPr>
        <w:t>§ 1</w:t>
      </w:r>
    </w:p>
    <w:p>
      <w:pPr>
        <w:pStyle w:val="berschrift1"/>
        <w:ind w:right="851"/>
        <w:rPr>
          <w:sz w:val="22"/>
        </w:rPr>
      </w:pPr>
      <w:r>
        <w:rPr>
          <w:sz w:val="22"/>
        </w:rPr>
        <w:t>Erklärung zum Wasserschutzgebiet</w:t>
      </w:r>
    </w:p>
    <w:p>
      <w:pPr>
        <w:spacing w:line="240" w:lineRule="exact"/>
        <w:ind w:right="851"/>
        <w:jc w:val="center"/>
        <w:rPr>
          <w:rFonts w:ascii="Arial" w:hAnsi="Arial"/>
          <w:b/>
          <w:sz w:val="22"/>
        </w:rPr>
      </w:pPr>
    </w:p>
    <w:p>
      <w:pPr>
        <w:spacing w:line="240" w:lineRule="exact"/>
        <w:ind w:right="851"/>
        <w:rPr>
          <w:rFonts w:ascii="Arial" w:hAnsi="Arial"/>
          <w:sz w:val="22"/>
        </w:rPr>
      </w:pPr>
      <w:r>
        <w:rPr>
          <w:rFonts w:ascii="Arial" w:hAnsi="Arial"/>
          <w:sz w:val="22"/>
        </w:rPr>
        <w:t>Zur Sicherung der öffentlichen Wasserversorgung wird zum Schutz des Grundwas</w:t>
      </w:r>
      <w:bookmarkStart w:id="0" w:name="_GoBack"/>
      <w:bookmarkEnd w:id="0"/>
      <w:r>
        <w:rPr>
          <w:rFonts w:ascii="Arial" w:hAnsi="Arial"/>
          <w:sz w:val="22"/>
        </w:rPr>
        <w:t xml:space="preserve">sers im Einzugsgebiet der Wassergewinnungsanlage </w:t>
      </w:r>
      <w:r>
        <w:rPr>
          <w:rFonts w:ascii="Arial" w:hAnsi="Arial"/>
          <w:i/>
          <w:sz w:val="22"/>
        </w:rPr>
        <w:t>(Bezeichnung des Wasserwerkes)</w:t>
      </w:r>
      <w:r>
        <w:rPr>
          <w:rFonts w:ascii="Arial" w:hAnsi="Arial"/>
          <w:sz w:val="22"/>
        </w:rPr>
        <w:t xml:space="preserve"> zugunsten des Trägers der Wasserversorgung </w:t>
      </w:r>
      <w:r>
        <w:rPr>
          <w:rFonts w:ascii="Arial" w:hAnsi="Arial"/>
          <w:bCs/>
          <w:sz w:val="22"/>
        </w:rPr>
        <w:t>(Begünstigter)</w:t>
      </w:r>
      <w:r>
        <w:rPr>
          <w:rFonts w:ascii="Arial" w:hAnsi="Arial"/>
          <w:sz w:val="22"/>
        </w:rPr>
        <w:t>, derzeit ... (</w:t>
      </w:r>
      <w:r>
        <w:rPr>
          <w:rFonts w:ascii="Arial" w:hAnsi="Arial"/>
          <w:i/>
          <w:sz w:val="22"/>
        </w:rPr>
        <w:t>Bezeichnung desjenigen, dessen Wasserfassungen durch die WSGVO geschützt wird)</w:t>
      </w:r>
      <w:r>
        <w:rPr>
          <w:rFonts w:ascii="Arial" w:hAnsi="Arial"/>
          <w:sz w:val="22"/>
        </w:rPr>
        <w:t>, das in § 2 näher umschriebene Wasserschutzgebiet festgesetzt.</w:t>
      </w:r>
    </w:p>
    <w:p>
      <w:pPr>
        <w:spacing w:line="240" w:lineRule="exact"/>
        <w:ind w:right="851"/>
        <w:rPr>
          <w:rFonts w:ascii="Arial" w:hAnsi="Arial"/>
          <w:sz w:val="22"/>
        </w:rPr>
      </w:pPr>
    </w:p>
    <w:p>
      <w:pPr>
        <w:spacing w:line="240" w:lineRule="exact"/>
        <w:ind w:right="851"/>
        <w:jc w:val="center"/>
        <w:rPr>
          <w:rFonts w:ascii="Arial" w:hAnsi="Arial"/>
          <w:b/>
          <w:sz w:val="22"/>
        </w:rPr>
      </w:pPr>
      <w:r>
        <w:rPr>
          <w:rFonts w:ascii="Arial" w:hAnsi="Arial"/>
          <w:b/>
          <w:sz w:val="22"/>
        </w:rPr>
        <w:t>§ 2</w:t>
      </w:r>
    </w:p>
    <w:p>
      <w:pPr>
        <w:spacing w:line="240" w:lineRule="exact"/>
        <w:ind w:right="851"/>
        <w:jc w:val="center"/>
        <w:rPr>
          <w:rFonts w:ascii="Arial" w:hAnsi="Arial"/>
          <w:sz w:val="24"/>
        </w:rPr>
      </w:pPr>
      <w:r>
        <w:rPr>
          <w:rFonts w:ascii="Arial" w:hAnsi="Arial"/>
          <w:b/>
          <w:sz w:val="22"/>
        </w:rPr>
        <w:t>Räumlicher Geltungsbereich</w:t>
      </w:r>
    </w:p>
    <w:p>
      <w:pPr>
        <w:pStyle w:val="Kopfzeile"/>
        <w:tabs>
          <w:tab w:val="clear" w:pos="4536"/>
          <w:tab w:val="clear" w:pos="9072"/>
        </w:tabs>
        <w:ind w:right="851"/>
        <w:rPr>
          <w:rFonts w:ascii="Arial" w:hAnsi="Arial"/>
        </w:rPr>
      </w:pPr>
    </w:p>
    <w:p>
      <w:pPr>
        <w:spacing w:line="240" w:lineRule="exact"/>
        <w:ind w:right="851"/>
        <w:rPr>
          <w:rFonts w:ascii="Arial" w:hAnsi="Arial"/>
          <w:sz w:val="22"/>
        </w:rPr>
      </w:pPr>
      <w:r>
        <w:rPr>
          <w:rFonts w:ascii="Arial" w:hAnsi="Arial"/>
          <w:sz w:val="24"/>
        </w:rPr>
        <w:t>(</w:t>
      </w:r>
      <w:r>
        <w:rPr>
          <w:rFonts w:ascii="Arial" w:hAnsi="Arial"/>
          <w:sz w:val="22"/>
        </w:rPr>
        <w:t>1) Das Wasserschutzgebiet besteht aus</w:t>
      </w:r>
    </w:p>
    <w:p>
      <w:pPr>
        <w:spacing w:line="240" w:lineRule="exact"/>
        <w:ind w:right="851"/>
        <w:rPr>
          <w:rFonts w:ascii="Arial" w:hAnsi="Arial"/>
          <w:sz w:val="22"/>
        </w:rPr>
      </w:pPr>
      <w:r>
        <w:rPr>
          <w:rFonts w:ascii="Arial" w:hAnsi="Arial"/>
          <w:sz w:val="22"/>
        </w:rPr>
        <w:tab/>
        <w:t>Zone I</w:t>
      </w:r>
      <w:r>
        <w:rPr>
          <w:rFonts w:ascii="Arial" w:hAnsi="Arial"/>
          <w:sz w:val="22"/>
        </w:rPr>
        <w:tab/>
      </w:r>
      <w:r>
        <w:rPr>
          <w:rFonts w:ascii="Arial" w:hAnsi="Arial"/>
          <w:sz w:val="22"/>
        </w:rPr>
        <w:tab/>
        <w:t>Fassungsbereich(e),</w:t>
      </w:r>
      <w:r>
        <w:rPr>
          <w:rFonts w:ascii="Arial" w:hAnsi="Arial"/>
          <w:sz w:val="22"/>
        </w:rPr>
        <w:tab/>
      </w:r>
      <w:r>
        <w:rPr>
          <w:rFonts w:ascii="Arial" w:hAnsi="Arial"/>
          <w:sz w:val="22"/>
        </w:rPr>
        <w:tab/>
      </w:r>
      <w:r>
        <w:rPr>
          <w:rFonts w:ascii="Arial" w:hAnsi="Arial"/>
          <w:sz w:val="22"/>
        </w:rPr>
        <w:tab/>
      </w:r>
    </w:p>
    <w:p>
      <w:pPr>
        <w:spacing w:line="240" w:lineRule="exact"/>
        <w:ind w:right="851"/>
        <w:rPr>
          <w:rFonts w:ascii="Arial" w:hAnsi="Arial"/>
          <w:sz w:val="22"/>
        </w:rPr>
      </w:pPr>
      <w:r>
        <w:rPr>
          <w:rFonts w:ascii="Arial" w:hAnsi="Arial"/>
          <w:sz w:val="22"/>
        </w:rPr>
        <w:tab/>
        <w:t>Zone II</w:t>
      </w:r>
      <w:r>
        <w:rPr>
          <w:rFonts w:ascii="Arial" w:hAnsi="Arial"/>
          <w:sz w:val="22"/>
        </w:rPr>
        <w:tab/>
      </w:r>
      <w:r>
        <w:rPr>
          <w:rFonts w:ascii="Arial" w:hAnsi="Arial"/>
          <w:sz w:val="22"/>
        </w:rPr>
        <w:tab/>
        <w:t>engere Schutzzone,</w:t>
      </w:r>
      <w:r>
        <w:rPr>
          <w:rFonts w:ascii="Arial" w:hAnsi="Arial"/>
          <w:sz w:val="22"/>
        </w:rPr>
        <w:tab/>
      </w:r>
      <w:r>
        <w:rPr>
          <w:rFonts w:ascii="Arial" w:hAnsi="Arial"/>
          <w:sz w:val="22"/>
        </w:rPr>
        <w:tab/>
      </w:r>
      <w:r>
        <w:rPr>
          <w:rFonts w:ascii="Arial" w:hAnsi="Arial"/>
          <w:sz w:val="22"/>
        </w:rPr>
        <w:tab/>
      </w:r>
    </w:p>
    <w:p>
      <w:pPr>
        <w:spacing w:line="240" w:lineRule="exact"/>
        <w:ind w:right="851"/>
        <w:rPr>
          <w:rFonts w:ascii="Arial" w:hAnsi="Arial"/>
          <w:sz w:val="22"/>
        </w:rPr>
      </w:pPr>
      <w:r>
        <w:rPr>
          <w:rFonts w:ascii="Arial" w:hAnsi="Arial"/>
          <w:sz w:val="22"/>
        </w:rPr>
        <w:tab/>
        <w:t xml:space="preserve">Zone III </w:t>
      </w:r>
      <w:r>
        <w:rPr>
          <w:rFonts w:ascii="Arial" w:hAnsi="Arial"/>
          <w:sz w:val="22"/>
        </w:rPr>
        <w:tab/>
        <w:t>weitere Schutzzone</w:t>
      </w:r>
    </w:p>
    <w:p>
      <w:pPr>
        <w:spacing w:line="240" w:lineRule="exact"/>
        <w:rPr>
          <w:rFonts w:ascii="Arial" w:hAnsi="Arial"/>
          <w:i/>
          <w:sz w:val="22"/>
        </w:rPr>
      </w:pPr>
      <w:r>
        <w:rPr>
          <w:rFonts w:ascii="Arial" w:hAnsi="Arial"/>
          <w:i/>
          <w:sz w:val="22"/>
        </w:rPr>
        <w:t>(oder bei Unterteilung der weiteren Schutzzone)</w:t>
      </w:r>
    </w:p>
    <w:p>
      <w:pPr>
        <w:spacing w:line="240" w:lineRule="exact"/>
        <w:ind w:firstLine="708"/>
        <w:rPr>
          <w:rFonts w:ascii="Arial" w:hAnsi="Arial"/>
          <w:sz w:val="22"/>
        </w:rPr>
      </w:pPr>
      <w:r>
        <w:rPr>
          <w:rFonts w:ascii="Arial" w:hAnsi="Arial"/>
          <w:sz w:val="22"/>
        </w:rPr>
        <w:t>Zone IIIA</w:t>
      </w:r>
      <w:r>
        <w:rPr>
          <w:rFonts w:ascii="Arial" w:hAnsi="Arial"/>
          <w:sz w:val="22"/>
        </w:rPr>
        <w:tab/>
      </w:r>
      <w:r>
        <w:rPr>
          <w:rFonts w:ascii="Arial" w:hAnsi="Arial"/>
          <w:sz w:val="22"/>
        </w:rPr>
        <w:tab/>
        <w:t>weitere Schutzzone A,</w:t>
      </w:r>
    </w:p>
    <w:p>
      <w:pPr>
        <w:spacing w:line="240" w:lineRule="exact"/>
        <w:ind w:firstLine="708"/>
        <w:rPr>
          <w:rFonts w:ascii="Arial" w:hAnsi="Arial"/>
          <w:sz w:val="22"/>
        </w:rPr>
      </w:pPr>
      <w:r>
        <w:rPr>
          <w:rFonts w:ascii="Arial" w:hAnsi="Arial"/>
          <w:sz w:val="22"/>
        </w:rPr>
        <w:t>Zone IIIB</w:t>
      </w:r>
      <w:r>
        <w:rPr>
          <w:rFonts w:ascii="Arial" w:hAnsi="Arial"/>
          <w:sz w:val="22"/>
        </w:rPr>
        <w:tab/>
      </w:r>
      <w:r>
        <w:rPr>
          <w:rFonts w:ascii="Arial" w:hAnsi="Arial"/>
          <w:sz w:val="22"/>
        </w:rPr>
        <w:tab/>
        <w:t>weitere Schutzzone B.</w:t>
      </w:r>
    </w:p>
    <w:p>
      <w:pPr>
        <w:spacing w:line="240" w:lineRule="exact"/>
        <w:ind w:right="851"/>
        <w:rPr>
          <w:rFonts w:ascii="Arial" w:hAnsi="Arial"/>
          <w:sz w:val="22"/>
        </w:rPr>
      </w:pPr>
    </w:p>
    <w:p>
      <w:pPr>
        <w:spacing w:line="240" w:lineRule="exact"/>
        <w:ind w:right="851"/>
        <w:rPr>
          <w:rFonts w:ascii="Arial" w:hAnsi="Arial" w:cs="Arial"/>
          <w:color w:val="000000" w:themeColor="text1"/>
          <w:sz w:val="22"/>
          <w:szCs w:val="22"/>
          <w:lang w:eastAsia="en-US"/>
        </w:rPr>
      </w:pPr>
      <w:r>
        <w:rPr>
          <w:rFonts w:ascii="Arial" w:hAnsi="Arial"/>
          <w:sz w:val="22"/>
          <w:szCs w:val="22"/>
        </w:rPr>
        <w:t>(</w:t>
      </w:r>
      <w:r>
        <w:rPr>
          <w:rFonts w:ascii="Arial" w:hAnsi="Arial"/>
          <w:color w:val="000000" w:themeColor="text1"/>
          <w:sz w:val="22"/>
          <w:szCs w:val="22"/>
        </w:rPr>
        <w:t xml:space="preserve">2) </w:t>
      </w:r>
      <w:r>
        <w:rPr>
          <w:rFonts w:ascii="Arial" w:hAnsi="Arial" w:cs="Arial"/>
          <w:color w:val="000000" w:themeColor="text1"/>
          <w:sz w:val="22"/>
          <w:szCs w:val="22"/>
          <w:lang w:eastAsia="en-US"/>
        </w:rPr>
        <w:t>Die Grenzen des Wasserschutzgebietes sowie der einzelnen Schutzzonen sind in der als Anlage 1 veröffentlichten Übersichtskarte im Maßstab 1</w:t>
      </w:r>
      <w:proofErr w:type="gramStart"/>
      <w:r>
        <w:rPr>
          <w:rFonts w:ascii="Arial" w:hAnsi="Arial" w:cs="Arial"/>
          <w:color w:val="000000" w:themeColor="text1"/>
          <w:sz w:val="22"/>
          <w:szCs w:val="22"/>
          <w:lang w:eastAsia="en-US"/>
        </w:rPr>
        <w:t xml:space="preserve"> :...</w:t>
      </w:r>
      <w:proofErr w:type="gramEnd"/>
      <w:r>
        <w:rPr>
          <w:rFonts w:ascii="Arial" w:hAnsi="Arial" w:cs="Arial"/>
          <w:color w:val="000000" w:themeColor="text1"/>
          <w:sz w:val="22"/>
          <w:szCs w:val="22"/>
          <w:lang w:eastAsia="en-US"/>
        </w:rPr>
        <w:t xml:space="preserve">dargestellt, </w:t>
      </w:r>
      <w:r>
        <w:rPr>
          <w:rFonts w:ascii="Arial" w:hAnsi="Arial" w:cs="Arial"/>
          <w:bCs/>
          <w:color w:val="000000" w:themeColor="text1"/>
          <w:sz w:val="22"/>
          <w:szCs w:val="22"/>
          <w:lang w:eastAsia="en-US"/>
        </w:rPr>
        <w:t>die Bestandteil dieser Verordnung ist.</w:t>
      </w:r>
      <w:r>
        <w:rPr>
          <w:rFonts w:ascii="Arial" w:hAnsi="Arial" w:cs="Arial"/>
          <w:color w:val="000000" w:themeColor="text1"/>
          <w:sz w:val="22"/>
          <w:szCs w:val="22"/>
          <w:lang w:eastAsia="en-US"/>
        </w:rPr>
        <w:t xml:space="preserve"> Die Schutzzonen sind weiterhin in der hier nicht veröffentlichten topografischen Karte im Maßstab </w:t>
      </w:r>
      <w:proofErr w:type="gramStart"/>
      <w:r>
        <w:rPr>
          <w:rFonts w:ascii="Arial" w:hAnsi="Arial" w:cs="Arial"/>
          <w:color w:val="000000" w:themeColor="text1"/>
          <w:sz w:val="22"/>
          <w:szCs w:val="22"/>
          <w:lang w:eastAsia="en-US"/>
        </w:rPr>
        <w:t>1 :</w:t>
      </w:r>
      <w:proofErr w:type="gramEnd"/>
      <w:r>
        <w:rPr>
          <w:rFonts w:ascii="Arial" w:hAnsi="Arial" w:cs="Arial"/>
          <w:color w:val="000000" w:themeColor="text1"/>
          <w:sz w:val="22"/>
          <w:szCs w:val="22"/>
          <w:lang w:eastAsia="en-US"/>
        </w:rPr>
        <w:t xml:space="preserve"> 10 000 sowie in der hier nicht veröffentlichten Liegenschaftskarte , die aus …</w:t>
      </w:r>
      <w:r>
        <w:rPr>
          <w:rFonts w:ascii="Arial" w:hAnsi="Arial" w:cs="Arial"/>
          <w:i/>
          <w:color w:val="000000" w:themeColor="text1"/>
          <w:sz w:val="22"/>
          <w:szCs w:val="22"/>
          <w:lang w:eastAsia="en-US"/>
        </w:rPr>
        <w:t xml:space="preserve"> </w:t>
      </w:r>
      <w:r>
        <w:rPr>
          <w:rFonts w:ascii="Arial" w:hAnsi="Arial" w:cs="Arial"/>
          <w:color w:val="000000" w:themeColor="text1"/>
          <w:sz w:val="22"/>
          <w:szCs w:val="22"/>
          <w:lang w:eastAsia="en-US"/>
        </w:rPr>
        <w:t xml:space="preserve">Blättern besteht, im Maßstab </w:t>
      </w:r>
    </w:p>
    <w:p>
      <w:pPr>
        <w:spacing w:line="240" w:lineRule="exact"/>
        <w:ind w:right="851"/>
        <w:rPr>
          <w:rFonts w:ascii="Arial" w:hAnsi="Arial" w:cs="Arial"/>
          <w:color w:val="000000" w:themeColor="text1"/>
          <w:sz w:val="22"/>
          <w:szCs w:val="22"/>
          <w:lang w:eastAsia="en-US"/>
        </w:rPr>
      </w:pPr>
      <w:proofErr w:type="gramStart"/>
      <w:r>
        <w:rPr>
          <w:rFonts w:ascii="Arial" w:hAnsi="Arial" w:cs="Arial"/>
          <w:color w:val="000000" w:themeColor="text1"/>
          <w:sz w:val="22"/>
          <w:szCs w:val="22"/>
          <w:lang w:eastAsia="en-US"/>
        </w:rPr>
        <w:t>1 :</w:t>
      </w:r>
      <w:proofErr w:type="gramEnd"/>
      <w:r>
        <w:rPr>
          <w:rFonts w:ascii="Arial" w:hAnsi="Arial" w:cs="Arial"/>
          <w:color w:val="000000" w:themeColor="text1"/>
          <w:sz w:val="22"/>
          <w:szCs w:val="22"/>
          <w:lang w:eastAsia="en-US"/>
        </w:rPr>
        <w:t xml:space="preserve"> 2 500 dargestellt. Für die genaue Grenzziehung der Schutzzonen ist die Darstellung in der Liegenschaftskarte im Maßstab </w:t>
      </w:r>
      <w:proofErr w:type="gramStart"/>
      <w:r>
        <w:rPr>
          <w:rFonts w:ascii="Arial" w:hAnsi="Arial" w:cs="Arial"/>
          <w:color w:val="000000" w:themeColor="text1"/>
          <w:sz w:val="22"/>
          <w:szCs w:val="22"/>
          <w:lang w:eastAsia="en-US"/>
        </w:rPr>
        <w:t>1 :</w:t>
      </w:r>
      <w:proofErr w:type="gramEnd"/>
      <w:r>
        <w:rPr>
          <w:rFonts w:ascii="Arial" w:hAnsi="Arial" w:cs="Arial"/>
          <w:color w:val="000000" w:themeColor="text1"/>
          <w:sz w:val="22"/>
          <w:szCs w:val="22"/>
          <w:lang w:eastAsia="en-US"/>
        </w:rPr>
        <w:t xml:space="preserve"> 2 500 maßgebend. Die Karten nach Satz 2 sind gleichfalls Bestandteil dieser Verordnung und werden durch das Ministerium für Klimaschutz, Landwirtschaft, ländliche Räume und Umwelt als oberste Wasserbehörde archiviert. </w:t>
      </w:r>
      <w:r>
        <w:rPr>
          <w:rFonts w:ascii="Arial" w:hAnsi="Arial" w:cs="Arial"/>
          <w:iCs/>
          <w:color w:val="000000" w:themeColor="text1"/>
          <w:sz w:val="22"/>
          <w:szCs w:val="22"/>
          <w:lang w:eastAsia="en-US"/>
        </w:rPr>
        <w:t>Ausfertigungen der Karten sind bei dem:</w:t>
      </w:r>
    </w:p>
    <w:p>
      <w:pPr>
        <w:spacing w:line="240" w:lineRule="exact"/>
        <w:ind w:left="720" w:right="851"/>
        <w:rPr>
          <w:rFonts w:ascii="Arial" w:hAnsi="Arial" w:cs="Arial"/>
          <w:sz w:val="22"/>
          <w:szCs w:val="22"/>
          <w:lang w:eastAsia="en-US"/>
        </w:rPr>
      </w:pPr>
    </w:p>
    <w:p>
      <w:pPr>
        <w:numPr>
          <w:ilvl w:val="0"/>
          <w:numId w:val="14"/>
        </w:numPr>
        <w:overflowPunct/>
        <w:autoSpaceDE/>
        <w:autoSpaceDN/>
        <w:adjustRightInd/>
        <w:spacing w:line="240" w:lineRule="exact"/>
        <w:ind w:right="851"/>
        <w:contextualSpacing/>
        <w:textAlignment w:val="auto"/>
        <w:rPr>
          <w:rFonts w:ascii="Arial" w:hAnsi="Arial" w:cs="Arial"/>
          <w:sz w:val="22"/>
          <w:szCs w:val="22"/>
          <w:lang w:eastAsia="en-US"/>
        </w:rPr>
      </w:pPr>
      <w:r>
        <w:rPr>
          <w:rFonts w:ascii="Arial" w:hAnsi="Arial" w:cs="Arial"/>
          <w:sz w:val="22"/>
          <w:szCs w:val="22"/>
          <w:lang w:eastAsia="en-US"/>
        </w:rPr>
        <w:t>Amt … (der Gemeinde …)</w:t>
      </w:r>
    </w:p>
    <w:p>
      <w:pPr>
        <w:overflowPunct/>
        <w:autoSpaceDE/>
        <w:autoSpaceDN/>
        <w:adjustRightInd/>
        <w:spacing w:line="240" w:lineRule="exact"/>
        <w:ind w:left="360" w:right="851" w:hanging="360"/>
        <w:textAlignment w:val="auto"/>
        <w:rPr>
          <w:rFonts w:ascii="Arial" w:hAnsi="Arial" w:cs="Arial"/>
          <w:sz w:val="22"/>
          <w:szCs w:val="22"/>
          <w:lang w:eastAsia="en-US"/>
        </w:rPr>
      </w:pPr>
      <w:r>
        <w:rPr>
          <w:rFonts w:ascii="Arial" w:hAnsi="Arial" w:cs="Arial"/>
          <w:sz w:val="22"/>
          <w:szCs w:val="22"/>
          <w:lang w:eastAsia="en-US"/>
        </w:rPr>
        <w:tab/>
      </w:r>
      <w:r>
        <w:rPr>
          <w:rFonts w:ascii="Arial" w:hAnsi="Arial" w:cs="Arial"/>
          <w:sz w:val="22"/>
          <w:szCs w:val="22"/>
          <w:lang w:eastAsia="en-US"/>
        </w:rPr>
        <w:tab/>
        <w:t>Der Amtsvorsteher (Bürgermeister)</w:t>
      </w:r>
    </w:p>
    <w:p>
      <w:pPr>
        <w:overflowPunct/>
        <w:autoSpaceDE/>
        <w:autoSpaceDN/>
        <w:adjustRightInd/>
        <w:spacing w:line="240" w:lineRule="exact"/>
        <w:ind w:left="709" w:right="851"/>
        <w:textAlignment w:val="auto"/>
        <w:rPr>
          <w:rFonts w:ascii="Arial" w:hAnsi="Arial" w:cs="Arial"/>
          <w:sz w:val="22"/>
          <w:szCs w:val="22"/>
          <w:lang w:eastAsia="en-US"/>
        </w:rPr>
      </w:pPr>
      <w:r>
        <w:rPr>
          <w:rFonts w:ascii="Arial" w:hAnsi="Arial" w:cs="Arial"/>
          <w:i/>
          <w:sz w:val="22"/>
          <w:szCs w:val="22"/>
          <w:lang w:eastAsia="en-US"/>
        </w:rPr>
        <w:t>(deren Gebiete betroffen sind, genaue Anschrift)</w:t>
      </w:r>
      <w:r>
        <w:rPr>
          <w:rFonts w:ascii="Arial" w:hAnsi="Arial" w:cs="Arial"/>
          <w:sz w:val="22"/>
          <w:szCs w:val="22"/>
          <w:lang w:eastAsia="en-US"/>
        </w:rPr>
        <w:t>,</w:t>
      </w:r>
      <w:r>
        <w:rPr>
          <w:rFonts w:ascii="Arial" w:hAnsi="Arial" w:cs="Arial"/>
          <w:sz w:val="22"/>
          <w:szCs w:val="22"/>
          <w:lang w:eastAsia="en-US"/>
        </w:rPr>
        <w:br/>
      </w:r>
    </w:p>
    <w:p>
      <w:pPr>
        <w:numPr>
          <w:ilvl w:val="0"/>
          <w:numId w:val="14"/>
        </w:numPr>
        <w:overflowPunct/>
        <w:autoSpaceDE/>
        <w:autoSpaceDN/>
        <w:adjustRightInd/>
        <w:spacing w:line="240" w:lineRule="exact"/>
        <w:ind w:right="851"/>
        <w:contextualSpacing/>
        <w:textAlignment w:val="auto"/>
        <w:rPr>
          <w:rFonts w:ascii="Arial" w:hAnsi="Arial" w:cs="Arial"/>
          <w:sz w:val="22"/>
          <w:szCs w:val="22"/>
          <w:lang w:eastAsia="en-US"/>
        </w:rPr>
      </w:pPr>
      <w:r>
        <w:rPr>
          <w:rFonts w:ascii="Arial" w:hAnsi="Arial" w:cs="Arial"/>
          <w:sz w:val="22"/>
          <w:szCs w:val="22"/>
          <w:lang w:eastAsia="en-US"/>
        </w:rPr>
        <w:t xml:space="preserve">Landkreis …, </w:t>
      </w:r>
    </w:p>
    <w:p>
      <w:pPr>
        <w:overflowPunct/>
        <w:autoSpaceDE/>
        <w:autoSpaceDN/>
        <w:adjustRightInd/>
        <w:spacing w:line="240" w:lineRule="exact"/>
        <w:ind w:left="720" w:right="851" w:hanging="11"/>
        <w:textAlignment w:val="auto"/>
        <w:rPr>
          <w:rFonts w:ascii="Arial" w:hAnsi="Arial" w:cs="Arial"/>
          <w:sz w:val="22"/>
          <w:szCs w:val="22"/>
          <w:lang w:eastAsia="en-US"/>
        </w:rPr>
      </w:pPr>
      <w:r>
        <w:rPr>
          <w:rFonts w:ascii="Arial" w:hAnsi="Arial" w:cs="Arial"/>
          <w:sz w:val="22"/>
          <w:szCs w:val="22"/>
          <w:lang w:eastAsia="en-US"/>
        </w:rPr>
        <w:lastRenderedPageBreak/>
        <w:t>Der Landrat</w:t>
      </w:r>
    </w:p>
    <w:p>
      <w:pPr>
        <w:overflowPunct/>
        <w:autoSpaceDE/>
        <w:autoSpaceDN/>
        <w:adjustRightInd/>
        <w:spacing w:line="240" w:lineRule="exact"/>
        <w:ind w:left="720" w:right="851" w:hanging="11"/>
        <w:textAlignment w:val="auto"/>
        <w:rPr>
          <w:rFonts w:ascii="Arial" w:hAnsi="Arial" w:cs="Arial"/>
          <w:sz w:val="22"/>
          <w:szCs w:val="22"/>
          <w:lang w:eastAsia="en-US"/>
        </w:rPr>
      </w:pPr>
      <w:r>
        <w:rPr>
          <w:rFonts w:ascii="Arial" w:hAnsi="Arial" w:cs="Arial"/>
          <w:sz w:val="22"/>
          <w:szCs w:val="22"/>
          <w:lang w:eastAsia="en-US"/>
        </w:rPr>
        <w:t xml:space="preserve">Untere Wasserbehörde </w:t>
      </w:r>
    </w:p>
    <w:p>
      <w:pPr>
        <w:overflowPunct/>
        <w:autoSpaceDE/>
        <w:autoSpaceDN/>
        <w:adjustRightInd/>
        <w:spacing w:line="240" w:lineRule="exact"/>
        <w:ind w:left="720" w:right="851" w:hanging="11"/>
        <w:textAlignment w:val="auto"/>
        <w:rPr>
          <w:rFonts w:ascii="Arial" w:hAnsi="Arial" w:cs="Arial"/>
          <w:i/>
          <w:sz w:val="22"/>
          <w:szCs w:val="22"/>
          <w:lang w:eastAsia="en-US"/>
        </w:rPr>
      </w:pPr>
      <w:r>
        <w:rPr>
          <w:rFonts w:ascii="Arial" w:hAnsi="Arial" w:cs="Arial"/>
          <w:i/>
          <w:sz w:val="22"/>
          <w:szCs w:val="22"/>
          <w:lang w:eastAsia="en-US"/>
        </w:rPr>
        <w:t xml:space="preserve">(dessen Gebiet betroffen ist genaue Anschrift) </w:t>
      </w:r>
      <w:r>
        <w:rPr>
          <w:rFonts w:ascii="Arial" w:hAnsi="Arial" w:cs="Arial"/>
          <w:sz w:val="22"/>
          <w:szCs w:val="22"/>
          <w:lang w:eastAsia="en-US"/>
        </w:rPr>
        <w:t>und</w:t>
      </w:r>
    </w:p>
    <w:p>
      <w:pPr>
        <w:overflowPunct/>
        <w:autoSpaceDE/>
        <w:autoSpaceDN/>
        <w:adjustRightInd/>
        <w:spacing w:line="240" w:lineRule="exact"/>
        <w:ind w:left="720" w:right="851" w:hanging="11"/>
        <w:textAlignment w:val="auto"/>
        <w:rPr>
          <w:rFonts w:ascii="Arial" w:hAnsi="Arial" w:cs="Arial"/>
          <w:sz w:val="22"/>
          <w:szCs w:val="22"/>
          <w:lang w:eastAsia="en-US"/>
        </w:rPr>
      </w:pPr>
    </w:p>
    <w:p>
      <w:pPr>
        <w:numPr>
          <w:ilvl w:val="0"/>
          <w:numId w:val="14"/>
        </w:numPr>
        <w:overflowPunct/>
        <w:autoSpaceDE/>
        <w:autoSpaceDN/>
        <w:adjustRightInd/>
        <w:spacing w:line="240" w:lineRule="exact"/>
        <w:ind w:right="851"/>
        <w:contextualSpacing/>
        <w:textAlignment w:val="auto"/>
        <w:rPr>
          <w:rFonts w:ascii="Arial" w:hAnsi="Arial" w:cs="Arial"/>
          <w:i/>
          <w:sz w:val="22"/>
          <w:szCs w:val="22"/>
          <w:lang w:eastAsia="en-US"/>
        </w:rPr>
      </w:pPr>
      <w:r>
        <w:rPr>
          <w:rFonts w:ascii="Arial" w:hAnsi="Arial" w:cs="Arial"/>
          <w:sz w:val="22"/>
          <w:szCs w:val="22"/>
          <w:lang w:eastAsia="en-US"/>
        </w:rPr>
        <w:t>Staatlichen Amt für Landwirtschaft und Umwelt …</w:t>
      </w:r>
    </w:p>
    <w:p>
      <w:pPr>
        <w:overflowPunct/>
        <w:autoSpaceDE/>
        <w:autoSpaceDN/>
        <w:adjustRightInd/>
        <w:spacing w:line="240" w:lineRule="exact"/>
        <w:ind w:left="720" w:right="851" w:hanging="11"/>
        <w:textAlignment w:val="auto"/>
        <w:rPr>
          <w:rFonts w:ascii="Arial" w:hAnsi="Arial" w:cs="Arial"/>
          <w:i/>
          <w:sz w:val="22"/>
          <w:szCs w:val="22"/>
          <w:lang w:eastAsia="en-US"/>
        </w:rPr>
      </w:pPr>
      <w:r>
        <w:rPr>
          <w:rFonts w:ascii="Arial" w:hAnsi="Arial" w:cs="Arial"/>
          <w:i/>
          <w:sz w:val="22"/>
          <w:szCs w:val="22"/>
          <w:lang w:eastAsia="en-US"/>
        </w:rPr>
        <w:t>(dessen Gebiet betroffen ist, genaue Anschrift)</w:t>
      </w:r>
    </w:p>
    <w:p>
      <w:pPr>
        <w:overflowPunct/>
        <w:autoSpaceDE/>
        <w:autoSpaceDN/>
        <w:adjustRightInd/>
        <w:spacing w:line="240" w:lineRule="exact"/>
        <w:ind w:left="720" w:right="851" w:hanging="11"/>
        <w:textAlignment w:val="auto"/>
        <w:rPr>
          <w:rFonts w:ascii="Arial" w:hAnsi="Arial" w:cs="Arial"/>
          <w:i/>
          <w:sz w:val="22"/>
          <w:szCs w:val="22"/>
          <w:lang w:eastAsia="en-US"/>
        </w:rPr>
      </w:pPr>
    </w:p>
    <w:p>
      <w:pPr>
        <w:overflowPunct/>
        <w:autoSpaceDE/>
        <w:autoSpaceDN/>
        <w:adjustRightInd/>
        <w:spacing w:before="40" w:after="40" w:line="240" w:lineRule="exact"/>
        <w:ind w:right="851"/>
        <w:textAlignment w:val="auto"/>
        <w:rPr>
          <w:rFonts w:ascii="Arial" w:hAnsi="Arial" w:cs="Arial"/>
          <w:sz w:val="22"/>
          <w:szCs w:val="22"/>
          <w:lang w:eastAsia="en-US"/>
        </w:rPr>
      </w:pPr>
      <w:r>
        <w:rPr>
          <w:rFonts w:ascii="Arial" w:hAnsi="Arial" w:cs="Arial"/>
          <w:sz w:val="22"/>
          <w:szCs w:val="22"/>
          <w:lang w:eastAsia="en-US"/>
        </w:rPr>
        <w:t>hinterlegt und können dort während der Dienststunden von jeder Person kostenlos eingesehen werden.</w:t>
      </w:r>
    </w:p>
    <w:p>
      <w:pPr>
        <w:overflowPunct/>
        <w:autoSpaceDE/>
        <w:autoSpaceDN/>
        <w:adjustRightInd/>
        <w:spacing w:before="40" w:after="40" w:line="240" w:lineRule="exact"/>
        <w:ind w:right="851"/>
        <w:textAlignment w:val="auto"/>
        <w:rPr>
          <w:rFonts w:ascii="Arial" w:hAnsi="Arial" w:cs="Arial"/>
          <w:sz w:val="22"/>
          <w:szCs w:val="22"/>
          <w:lang w:eastAsia="en-US"/>
        </w:rPr>
      </w:pPr>
      <w:r>
        <w:rPr>
          <w:rFonts w:ascii="Arial" w:hAnsi="Arial" w:cs="Arial"/>
          <w:sz w:val="22"/>
          <w:szCs w:val="22"/>
          <w:lang w:eastAsia="en-US"/>
        </w:rPr>
        <w:t xml:space="preserve">Darüber hinaus können die Karten in digitaler Form im Kartenportal Umwelt Mecklenburg-Vorpommern des Landesamtes für Umwelt, Naturschutz und Geologie </w:t>
      </w:r>
      <w:r>
        <w:rPr>
          <w:rFonts w:ascii="Arial" w:hAnsi="Arial" w:cs="Arial"/>
          <w:color w:val="000000" w:themeColor="text1"/>
          <w:sz w:val="22"/>
          <w:szCs w:val="22"/>
          <w:lang w:eastAsia="en-US"/>
        </w:rPr>
        <w:t xml:space="preserve">unter der Internetadresse </w:t>
      </w:r>
      <w:hyperlink r:id="rId8" w:history="1">
        <w:r>
          <w:rPr>
            <w:rFonts w:ascii="Arial" w:hAnsi="Arial" w:cs="Arial"/>
            <w:color w:val="0000FF"/>
            <w:sz w:val="22"/>
            <w:szCs w:val="22"/>
            <w:u w:val="single"/>
            <w:lang w:eastAsia="en-US"/>
          </w:rPr>
          <w:t>http://www.umweltkarten.mv-regierung.de</w:t>
        </w:r>
      </w:hyperlink>
      <w:r>
        <w:rPr>
          <w:rFonts w:ascii="Arial" w:hAnsi="Arial" w:cs="Arial"/>
          <w:color w:val="FF0000"/>
          <w:sz w:val="22"/>
          <w:szCs w:val="22"/>
          <w:lang w:eastAsia="en-US"/>
        </w:rPr>
        <w:t xml:space="preserve"> </w:t>
      </w:r>
      <w:r>
        <w:rPr>
          <w:rFonts w:ascii="Arial" w:hAnsi="Arial" w:cs="Arial"/>
          <w:sz w:val="22"/>
          <w:szCs w:val="22"/>
          <w:lang w:eastAsia="en-US"/>
        </w:rPr>
        <w:t>eingesehen und heruntergeladen werden.</w:t>
      </w:r>
    </w:p>
    <w:p>
      <w:pPr>
        <w:spacing w:line="240" w:lineRule="exact"/>
        <w:ind w:right="851"/>
        <w:rPr>
          <w:rFonts w:ascii="Arial" w:hAnsi="Arial"/>
          <w:sz w:val="24"/>
        </w:rPr>
      </w:pPr>
    </w:p>
    <w:p>
      <w:pPr>
        <w:spacing w:line="240" w:lineRule="exact"/>
        <w:ind w:right="851"/>
        <w:rPr>
          <w:rFonts w:ascii="Arial" w:hAnsi="Arial"/>
          <w:sz w:val="22"/>
        </w:rPr>
      </w:pPr>
      <w:r>
        <w:rPr>
          <w:rFonts w:ascii="Arial" w:hAnsi="Arial"/>
          <w:sz w:val="24"/>
        </w:rPr>
        <w:t>(</w:t>
      </w:r>
      <w:r>
        <w:rPr>
          <w:rFonts w:ascii="Arial" w:hAnsi="Arial"/>
          <w:sz w:val="22"/>
        </w:rPr>
        <w:t>3) Veränderungen der Grenzen oder der Bezeichnungen der im Wasserschutzgebiet gelegenen Grundstücke berühren die festgesetzten Grenzen der Schutzzonen nicht.</w:t>
      </w:r>
    </w:p>
    <w:p>
      <w:pPr>
        <w:pStyle w:val="Kopfzeile"/>
        <w:tabs>
          <w:tab w:val="clear" w:pos="4536"/>
          <w:tab w:val="clear" w:pos="9072"/>
        </w:tabs>
        <w:ind w:right="851"/>
        <w:rPr>
          <w:rFonts w:ascii="Arial" w:hAnsi="Arial"/>
        </w:rPr>
      </w:pPr>
    </w:p>
    <w:p>
      <w:pPr>
        <w:spacing w:line="240" w:lineRule="exact"/>
        <w:ind w:right="851"/>
        <w:rPr>
          <w:rFonts w:ascii="Arial" w:hAnsi="Arial" w:cs="Arial"/>
          <w:color w:val="000000" w:themeColor="text1"/>
          <w:sz w:val="22"/>
          <w:szCs w:val="22"/>
          <w:lang w:eastAsia="en-US"/>
        </w:rPr>
      </w:pPr>
      <w:r>
        <w:rPr>
          <w:rFonts w:ascii="Arial" w:hAnsi="Arial"/>
          <w:sz w:val="22"/>
          <w:szCs w:val="22"/>
        </w:rPr>
        <w:t xml:space="preserve">(4) </w:t>
      </w:r>
      <w:r>
        <w:rPr>
          <w:rFonts w:ascii="Arial" w:hAnsi="Arial" w:cs="Arial"/>
          <w:sz w:val="22"/>
          <w:szCs w:val="22"/>
          <w:lang w:eastAsia="en-US"/>
        </w:rPr>
        <w:t>Vom Begünstigten ist (</w:t>
      </w:r>
      <w:r>
        <w:rPr>
          <w:rFonts w:ascii="Arial" w:hAnsi="Arial" w:cs="Arial"/>
          <w:i/>
          <w:sz w:val="22"/>
          <w:szCs w:val="22"/>
          <w:lang w:eastAsia="en-US"/>
        </w:rPr>
        <w:t>sind</w:t>
      </w:r>
      <w:r>
        <w:rPr>
          <w:rFonts w:ascii="Arial" w:hAnsi="Arial" w:cs="Arial"/>
          <w:sz w:val="22"/>
          <w:szCs w:val="22"/>
          <w:lang w:eastAsia="en-US"/>
        </w:rPr>
        <w:t>) der (</w:t>
      </w:r>
      <w:r>
        <w:rPr>
          <w:rFonts w:ascii="Arial" w:hAnsi="Arial" w:cs="Arial"/>
          <w:i/>
          <w:sz w:val="22"/>
          <w:szCs w:val="22"/>
          <w:lang w:eastAsia="en-US"/>
        </w:rPr>
        <w:t>die</w:t>
      </w:r>
      <w:r>
        <w:rPr>
          <w:rFonts w:ascii="Arial" w:hAnsi="Arial" w:cs="Arial"/>
          <w:sz w:val="22"/>
          <w:szCs w:val="22"/>
          <w:lang w:eastAsia="en-US"/>
        </w:rPr>
        <w:t xml:space="preserve">) Fassungsbereich(e) durch eine Umzäunung gegen </w:t>
      </w:r>
      <w:r>
        <w:rPr>
          <w:rFonts w:ascii="Arial" w:hAnsi="Arial" w:cs="Arial"/>
          <w:bCs/>
          <w:sz w:val="22"/>
          <w:szCs w:val="22"/>
          <w:lang w:eastAsia="en-US"/>
        </w:rPr>
        <w:t xml:space="preserve">unbefugtes Betreten zu sichern. </w:t>
      </w:r>
      <w:r>
        <w:rPr>
          <w:rFonts w:ascii="Arial" w:hAnsi="Arial" w:cs="Arial"/>
          <w:sz w:val="22"/>
          <w:szCs w:val="22"/>
          <w:lang w:eastAsia="en-US"/>
        </w:rPr>
        <w:t xml:space="preserve">Die engere Schutzzone </w:t>
      </w:r>
      <w:r>
        <w:rPr>
          <w:rFonts w:ascii="Arial" w:hAnsi="Arial" w:cs="Arial"/>
          <w:bCs/>
          <w:sz w:val="22"/>
          <w:szCs w:val="22"/>
          <w:lang w:eastAsia="en-US"/>
        </w:rPr>
        <w:t>sowie</w:t>
      </w:r>
      <w:r>
        <w:rPr>
          <w:rFonts w:ascii="Arial" w:hAnsi="Arial" w:cs="Arial"/>
          <w:sz w:val="22"/>
          <w:szCs w:val="22"/>
          <w:lang w:eastAsia="en-US"/>
        </w:rPr>
        <w:t xml:space="preserve"> die weitere</w:t>
      </w:r>
      <w:r>
        <w:rPr>
          <w:rFonts w:ascii="Arial" w:hAnsi="Arial" w:cs="Arial"/>
          <w:color w:val="C00000"/>
          <w:sz w:val="22"/>
          <w:szCs w:val="22"/>
          <w:lang w:eastAsia="en-US"/>
        </w:rPr>
        <w:t xml:space="preserve"> </w:t>
      </w:r>
      <w:r>
        <w:rPr>
          <w:rFonts w:ascii="Arial" w:hAnsi="Arial" w:cs="Arial"/>
          <w:sz w:val="22"/>
          <w:szCs w:val="22"/>
          <w:lang w:eastAsia="en-US"/>
        </w:rPr>
        <w:t>Schutzzone (</w:t>
      </w:r>
      <w:r>
        <w:rPr>
          <w:rFonts w:ascii="Arial" w:hAnsi="Arial" w:cs="Arial"/>
          <w:i/>
          <w:sz w:val="22"/>
          <w:szCs w:val="22"/>
          <w:lang w:eastAsia="en-US"/>
        </w:rPr>
        <w:t xml:space="preserve">ggfls. weitere </w:t>
      </w:r>
      <w:r>
        <w:rPr>
          <w:rFonts w:ascii="Arial" w:hAnsi="Arial" w:cs="Arial"/>
          <w:i/>
          <w:color w:val="000000" w:themeColor="text1"/>
          <w:sz w:val="22"/>
          <w:szCs w:val="22"/>
          <w:lang w:eastAsia="en-US"/>
        </w:rPr>
        <w:t>Schutzzonen A und/oder B</w:t>
      </w:r>
      <w:r>
        <w:rPr>
          <w:rFonts w:ascii="Arial" w:hAnsi="Arial" w:cs="Arial"/>
          <w:color w:val="000000" w:themeColor="text1"/>
          <w:sz w:val="22"/>
          <w:szCs w:val="22"/>
          <w:lang w:eastAsia="en-US"/>
        </w:rPr>
        <w:t xml:space="preserve">) </w:t>
      </w:r>
      <w:r>
        <w:rPr>
          <w:rFonts w:ascii="Arial" w:hAnsi="Arial" w:cs="Arial"/>
          <w:sz w:val="22"/>
          <w:szCs w:val="22"/>
          <w:lang w:eastAsia="en-US"/>
        </w:rPr>
        <w:t xml:space="preserve">sind durch </w:t>
      </w:r>
      <w:r>
        <w:rPr>
          <w:rFonts w:ascii="Arial" w:hAnsi="Arial" w:cs="Arial"/>
          <w:color w:val="000000" w:themeColor="text1"/>
          <w:sz w:val="22"/>
          <w:szCs w:val="22"/>
          <w:lang w:eastAsia="en-US"/>
        </w:rPr>
        <w:t>entsprechende Hinweisschilder mit der Aufschrift „Wasserschutzgebiet" ausreichend zu kennzeichnen.</w:t>
      </w:r>
    </w:p>
    <w:p>
      <w:pPr>
        <w:spacing w:line="240" w:lineRule="exact"/>
        <w:ind w:right="851"/>
        <w:rPr>
          <w:rFonts w:ascii="Arial" w:hAnsi="Arial" w:cs="Arial"/>
          <w:color w:val="000000" w:themeColor="text1"/>
          <w:sz w:val="22"/>
          <w:szCs w:val="22"/>
          <w:lang w:eastAsia="en-US"/>
        </w:rPr>
      </w:pPr>
    </w:p>
    <w:p>
      <w:pPr>
        <w:spacing w:line="240" w:lineRule="exact"/>
        <w:ind w:right="851"/>
        <w:jc w:val="center"/>
        <w:rPr>
          <w:rFonts w:ascii="Arial" w:hAnsi="Arial"/>
          <w:b/>
          <w:sz w:val="22"/>
        </w:rPr>
      </w:pPr>
      <w:r>
        <w:rPr>
          <w:rFonts w:ascii="Arial" w:hAnsi="Arial"/>
          <w:b/>
          <w:sz w:val="22"/>
        </w:rPr>
        <w:t>§ 3</w:t>
      </w:r>
    </w:p>
    <w:p>
      <w:pPr>
        <w:pStyle w:val="berschrift1"/>
        <w:ind w:right="851"/>
        <w:rPr>
          <w:sz w:val="22"/>
        </w:rPr>
      </w:pPr>
      <w:r>
        <w:rPr>
          <w:sz w:val="22"/>
        </w:rPr>
        <w:t>Verbotene oder nur beschränkt zulässige Handlungen</w:t>
      </w:r>
    </w:p>
    <w:p>
      <w:pPr>
        <w:ind w:right="851"/>
        <w:rPr>
          <w:rFonts w:ascii="Arial" w:hAnsi="Arial"/>
          <w:b/>
          <w:sz w:val="22"/>
        </w:rPr>
      </w:pPr>
    </w:p>
    <w:p>
      <w:pPr>
        <w:spacing w:line="240" w:lineRule="exact"/>
        <w:ind w:right="851"/>
        <w:rPr>
          <w:rFonts w:ascii="Arial" w:hAnsi="Arial"/>
          <w:sz w:val="22"/>
        </w:rPr>
      </w:pPr>
      <w:r>
        <w:rPr>
          <w:rFonts w:ascii="Arial" w:hAnsi="Arial"/>
          <w:sz w:val="22"/>
        </w:rPr>
        <w:t>(1)</w:t>
      </w:r>
      <w:r>
        <w:rPr>
          <w:rFonts w:ascii="Arial" w:hAnsi="Arial"/>
          <w:b/>
          <w:sz w:val="22"/>
        </w:rPr>
        <w:t xml:space="preserve"> </w:t>
      </w:r>
      <w:r>
        <w:rPr>
          <w:rFonts w:ascii="Arial" w:hAnsi="Arial"/>
          <w:sz w:val="22"/>
        </w:rPr>
        <w:t>Verbotene oder nur beschränkt zulässige Handlungen in den Zonen I bis III (</w:t>
      </w:r>
      <w:r>
        <w:rPr>
          <w:rFonts w:ascii="Arial" w:hAnsi="Arial"/>
          <w:i/>
          <w:sz w:val="22"/>
        </w:rPr>
        <w:t>ggfls. A/B</w:t>
      </w:r>
      <w:r>
        <w:rPr>
          <w:rFonts w:ascii="Arial" w:hAnsi="Arial"/>
          <w:sz w:val="22"/>
        </w:rPr>
        <w:t>) ergeben sich aus der Anlage 2 zu dieser Verordnung.</w:t>
      </w:r>
    </w:p>
    <w:p>
      <w:pPr>
        <w:pStyle w:val="Kopfzeile"/>
        <w:tabs>
          <w:tab w:val="clear" w:pos="4536"/>
          <w:tab w:val="clear" w:pos="9072"/>
        </w:tabs>
        <w:spacing w:line="240" w:lineRule="exact"/>
        <w:ind w:right="851"/>
        <w:rPr>
          <w:rFonts w:ascii="Arial" w:hAnsi="Arial"/>
          <w:sz w:val="22"/>
        </w:rPr>
      </w:pPr>
    </w:p>
    <w:p>
      <w:pPr>
        <w:spacing w:line="240" w:lineRule="exact"/>
        <w:ind w:right="851"/>
        <w:rPr>
          <w:rFonts w:ascii="Arial" w:hAnsi="Arial"/>
          <w:sz w:val="22"/>
        </w:rPr>
      </w:pPr>
      <w:r>
        <w:rPr>
          <w:rFonts w:ascii="Arial" w:hAnsi="Arial"/>
          <w:sz w:val="22"/>
        </w:rPr>
        <w:t xml:space="preserve">(2) Die Verbote der Anlage 2 Nummer </w:t>
      </w:r>
      <w:r>
        <w:rPr>
          <w:rFonts w:ascii="Arial" w:hAnsi="Arial"/>
          <w:color w:val="000000" w:themeColor="text1"/>
          <w:sz w:val="22"/>
        </w:rPr>
        <w:t>3.</w:t>
      </w:r>
      <w:r>
        <w:rPr>
          <w:rFonts w:ascii="Arial" w:hAnsi="Arial"/>
          <w:i/>
          <w:color w:val="000000" w:themeColor="text1"/>
          <w:sz w:val="22"/>
        </w:rPr>
        <w:t xml:space="preserve">9 (Versickerung oder </w:t>
      </w:r>
      <w:proofErr w:type="spellStart"/>
      <w:r>
        <w:rPr>
          <w:rFonts w:ascii="Arial" w:hAnsi="Arial"/>
          <w:i/>
          <w:color w:val="000000" w:themeColor="text1"/>
          <w:sz w:val="22"/>
        </w:rPr>
        <w:t>Verrieselung</w:t>
      </w:r>
      <w:proofErr w:type="spellEnd"/>
      <w:r>
        <w:rPr>
          <w:rFonts w:ascii="Arial" w:hAnsi="Arial"/>
          <w:i/>
          <w:color w:val="000000" w:themeColor="text1"/>
          <w:sz w:val="22"/>
        </w:rPr>
        <w:t xml:space="preserve"> von Niederschlagswasser)</w:t>
      </w:r>
      <w:r>
        <w:rPr>
          <w:rFonts w:ascii="Arial" w:hAnsi="Arial"/>
          <w:sz w:val="22"/>
        </w:rPr>
        <w:t xml:space="preserve">, 5.3 </w:t>
      </w:r>
      <w:r>
        <w:rPr>
          <w:rFonts w:ascii="Arial" w:hAnsi="Arial"/>
          <w:i/>
          <w:sz w:val="22"/>
        </w:rPr>
        <w:t>(Durchführung von Bohrungen)</w:t>
      </w:r>
      <w:r>
        <w:rPr>
          <w:rFonts w:ascii="Arial" w:hAnsi="Arial"/>
          <w:sz w:val="22"/>
        </w:rPr>
        <w:t xml:space="preserve">, 6.1 </w:t>
      </w:r>
      <w:r>
        <w:rPr>
          <w:rFonts w:ascii="Arial" w:hAnsi="Arial"/>
          <w:i/>
          <w:sz w:val="22"/>
        </w:rPr>
        <w:t>(Errichtung oder Erweiterung baulicher Anlagen)</w:t>
      </w:r>
      <w:r>
        <w:rPr>
          <w:rFonts w:ascii="Arial" w:hAnsi="Arial"/>
          <w:sz w:val="22"/>
        </w:rPr>
        <w:t xml:space="preserve"> und 7 </w:t>
      </w:r>
      <w:r>
        <w:rPr>
          <w:rFonts w:ascii="Arial" w:hAnsi="Arial"/>
          <w:i/>
          <w:sz w:val="22"/>
        </w:rPr>
        <w:t>(Betreten)</w:t>
      </w:r>
      <w:r>
        <w:rPr>
          <w:rFonts w:ascii="Arial" w:hAnsi="Arial"/>
          <w:sz w:val="22"/>
        </w:rPr>
        <w:t xml:space="preserve"> gelten nicht für Handlungen im Rahmen der Wassergewinnung und -ableitung des </w:t>
      </w:r>
      <w:r>
        <w:rPr>
          <w:rFonts w:ascii="Arial" w:hAnsi="Arial"/>
          <w:bCs/>
          <w:sz w:val="22"/>
        </w:rPr>
        <w:t>Begünstigten.</w:t>
      </w:r>
    </w:p>
    <w:p>
      <w:pPr>
        <w:pStyle w:val="Kopfzeile"/>
        <w:tabs>
          <w:tab w:val="clear" w:pos="4536"/>
          <w:tab w:val="clear" w:pos="9072"/>
        </w:tabs>
        <w:ind w:right="851"/>
        <w:rPr>
          <w:rFonts w:ascii="Arial" w:hAnsi="Arial"/>
          <w:sz w:val="22"/>
        </w:rPr>
      </w:pPr>
    </w:p>
    <w:p>
      <w:pPr>
        <w:spacing w:line="240" w:lineRule="exact"/>
        <w:ind w:right="851"/>
        <w:rPr>
          <w:rFonts w:ascii="Arial" w:hAnsi="Arial"/>
          <w:sz w:val="22"/>
        </w:rPr>
      </w:pPr>
      <w:r>
        <w:rPr>
          <w:rFonts w:ascii="Arial" w:hAnsi="Arial"/>
          <w:sz w:val="22"/>
        </w:rPr>
        <w:t>(3) Das Verbot der Anlage 2 Nummer 7</w:t>
      </w:r>
      <w:r>
        <w:rPr>
          <w:rFonts w:ascii="Arial" w:hAnsi="Arial"/>
          <w:b/>
          <w:sz w:val="22"/>
        </w:rPr>
        <w:t xml:space="preserve"> </w:t>
      </w:r>
      <w:r>
        <w:rPr>
          <w:rFonts w:ascii="Arial" w:hAnsi="Arial"/>
          <w:sz w:val="22"/>
        </w:rPr>
        <w:t>gilt nicht für Handlungen</w:t>
      </w:r>
      <w:r>
        <w:rPr>
          <w:rFonts w:ascii="Arial" w:hAnsi="Arial"/>
          <w:b/>
          <w:sz w:val="22"/>
        </w:rPr>
        <w:t xml:space="preserve"> </w:t>
      </w:r>
      <w:r>
        <w:rPr>
          <w:rFonts w:ascii="Arial" w:hAnsi="Arial"/>
          <w:sz w:val="22"/>
        </w:rPr>
        <w:t>von Beauftragten der Behörden zur Erfüllung dienstlicher Aufgaben.</w:t>
      </w:r>
    </w:p>
    <w:p>
      <w:pPr>
        <w:spacing w:line="240" w:lineRule="exact"/>
        <w:ind w:right="851"/>
        <w:rPr>
          <w:rFonts w:ascii="Arial" w:hAnsi="Arial"/>
          <w:sz w:val="22"/>
        </w:rPr>
      </w:pPr>
    </w:p>
    <w:p>
      <w:pPr>
        <w:spacing w:line="240" w:lineRule="exact"/>
        <w:ind w:right="851"/>
        <w:jc w:val="center"/>
        <w:rPr>
          <w:rFonts w:ascii="Arial" w:hAnsi="Arial"/>
          <w:b/>
          <w:sz w:val="22"/>
        </w:rPr>
      </w:pPr>
      <w:r>
        <w:rPr>
          <w:rFonts w:ascii="Arial" w:hAnsi="Arial"/>
          <w:b/>
          <w:sz w:val="22"/>
        </w:rPr>
        <w:t>§ 4</w:t>
      </w:r>
    </w:p>
    <w:p>
      <w:pPr>
        <w:ind w:right="851"/>
        <w:jc w:val="center"/>
        <w:rPr>
          <w:rFonts w:ascii="Arial" w:hAnsi="Arial" w:cs="Arial"/>
          <w:b/>
          <w:bCs/>
          <w:color w:val="000000" w:themeColor="text1"/>
          <w:sz w:val="22"/>
          <w:szCs w:val="22"/>
        </w:rPr>
      </w:pPr>
      <w:r>
        <w:rPr>
          <w:rFonts w:ascii="Arial" w:hAnsi="Arial" w:cs="Arial"/>
          <w:b/>
          <w:bCs/>
          <w:color w:val="000000" w:themeColor="text1"/>
          <w:sz w:val="22"/>
          <w:szCs w:val="22"/>
        </w:rPr>
        <w:t xml:space="preserve">Bestehende bauliche Anlagen, sonstige Anlagen und Einrichtungen </w:t>
      </w:r>
    </w:p>
    <w:p>
      <w:pPr>
        <w:pStyle w:val="Kopfzeile"/>
        <w:tabs>
          <w:tab w:val="clear" w:pos="4536"/>
          <w:tab w:val="clear" w:pos="9072"/>
        </w:tabs>
        <w:ind w:right="851"/>
        <w:rPr>
          <w:rFonts w:ascii="Arial" w:hAnsi="Arial" w:cs="Arial"/>
          <w:bCs/>
          <w:color w:val="000000" w:themeColor="text1"/>
          <w:sz w:val="22"/>
          <w:szCs w:val="22"/>
        </w:rPr>
      </w:pPr>
    </w:p>
    <w:p>
      <w:pPr>
        <w:pStyle w:val="Kopfzeile"/>
        <w:tabs>
          <w:tab w:val="clear" w:pos="4536"/>
          <w:tab w:val="clear" w:pos="9072"/>
        </w:tabs>
        <w:ind w:right="851"/>
        <w:rPr>
          <w:rFonts w:ascii="Arial" w:hAnsi="Arial"/>
          <w:bCs/>
          <w:color w:val="000000" w:themeColor="text1"/>
          <w:sz w:val="22"/>
        </w:rPr>
      </w:pPr>
      <w:r>
        <w:rPr>
          <w:rFonts w:ascii="Arial" w:hAnsi="Arial"/>
          <w:bCs/>
          <w:color w:val="000000" w:themeColor="text1"/>
          <w:sz w:val="22"/>
        </w:rPr>
        <w:t xml:space="preserve">(1) </w:t>
      </w:r>
      <w:r>
        <w:rPr>
          <w:rFonts w:ascii="Arial" w:hAnsi="Arial"/>
          <w:sz w:val="22"/>
        </w:rPr>
        <w:t>Die Verbote und Nutzungsbeschränkungen gemäß § 3 gelten nicht für bauliche Anlagen, sonstige Anlagen oder Einrichtungen, die bereits vor Inkrafttreten dieser Verordnung rechtmäßig errichtet und betrieben wurden oder für welche vor Inkrafttreten dieser Verordnung eine bestandskräftige Baugenehmigung oder andere Zulassung erwirkt wurde.</w:t>
      </w:r>
    </w:p>
    <w:p>
      <w:pPr>
        <w:pStyle w:val="Kopfzeile"/>
        <w:tabs>
          <w:tab w:val="clear" w:pos="4536"/>
          <w:tab w:val="clear" w:pos="9072"/>
        </w:tabs>
        <w:ind w:right="851"/>
        <w:rPr>
          <w:rFonts w:ascii="Arial" w:hAnsi="Arial"/>
          <w:bCs/>
          <w:color w:val="000000" w:themeColor="text1"/>
          <w:sz w:val="22"/>
        </w:rPr>
      </w:pPr>
    </w:p>
    <w:p>
      <w:pPr>
        <w:spacing w:line="240" w:lineRule="exact"/>
        <w:ind w:right="851"/>
        <w:rPr>
          <w:rFonts w:ascii="Arial" w:hAnsi="Arial" w:cs="Arial"/>
          <w:color w:val="000000" w:themeColor="text1"/>
          <w:sz w:val="22"/>
          <w:szCs w:val="22"/>
        </w:rPr>
      </w:pPr>
      <w:r>
        <w:rPr>
          <w:rFonts w:ascii="Arial" w:hAnsi="Arial"/>
          <w:color w:val="000000" w:themeColor="text1"/>
          <w:sz w:val="22"/>
        </w:rPr>
        <w:t xml:space="preserve">(2) </w:t>
      </w:r>
      <w:r>
        <w:rPr>
          <w:rFonts w:ascii="Arial" w:hAnsi="Arial" w:cs="Arial"/>
          <w:color w:val="000000" w:themeColor="text1"/>
          <w:sz w:val="22"/>
          <w:szCs w:val="22"/>
        </w:rPr>
        <w:t>Die untere Wasserbehörde kann die Beseitigung oder Änderung von baulichen Anlagen, sonstigen Anlagen und Einrichtungen nach Absatz 1 anordnen, soweit Verbote und Beschränkungen nach § 3 für diese Anlagen und Einrichtungen bestehen und die Beseitigungsanordnung zur Gewährleistung des Schutzziels gemäß § 1 erforderlich ist.</w:t>
      </w:r>
    </w:p>
    <w:p>
      <w:pPr>
        <w:ind w:right="851"/>
        <w:rPr>
          <w:rFonts w:ascii="Arial" w:hAnsi="Arial"/>
          <w:sz w:val="24"/>
        </w:rPr>
      </w:pPr>
    </w:p>
    <w:p>
      <w:pPr>
        <w:ind w:right="851"/>
        <w:rPr>
          <w:rFonts w:ascii="Arial" w:hAnsi="Arial" w:cs="Arial"/>
          <w:sz w:val="22"/>
          <w:szCs w:val="22"/>
        </w:rPr>
      </w:pPr>
      <w:r>
        <w:rPr>
          <w:rFonts w:ascii="Arial" w:hAnsi="Arial"/>
          <w:sz w:val="22"/>
        </w:rPr>
        <w:t xml:space="preserve">(3) </w:t>
      </w:r>
      <w:r>
        <w:rPr>
          <w:rFonts w:ascii="Arial" w:hAnsi="Arial" w:cs="Arial"/>
          <w:sz w:val="22"/>
          <w:szCs w:val="22"/>
        </w:rPr>
        <w:t>Für Anordnungen nach Absatz 2 ist nach § 52 Absatz 4 des Wasserhaushaltsgesetzes Entschädigung zu leisten. Eine Entschädigungspflicht besteht nicht, wenn die Anordnung auch ohne Festsetzung des Wasserschutzgebietes durchzuführen oder zu dulden ist.</w:t>
      </w:r>
    </w:p>
    <w:p>
      <w:pPr>
        <w:overflowPunct/>
        <w:autoSpaceDE/>
        <w:autoSpaceDN/>
        <w:adjustRightInd/>
        <w:textAlignment w:val="auto"/>
        <w:rPr>
          <w:rFonts w:ascii="Arial" w:hAnsi="Arial" w:cs="Arial"/>
          <w:sz w:val="22"/>
          <w:szCs w:val="22"/>
        </w:rPr>
      </w:pPr>
      <w:r>
        <w:rPr>
          <w:rFonts w:ascii="Arial" w:hAnsi="Arial" w:cs="Arial"/>
          <w:sz w:val="22"/>
          <w:szCs w:val="22"/>
        </w:rPr>
        <w:br w:type="page"/>
      </w:r>
    </w:p>
    <w:p>
      <w:pPr>
        <w:spacing w:line="240" w:lineRule="exact"/>
        <w:ind w:right="851"/>
        <w:jc w:val="center"/>
        <w:rPr>
          <w:rFonts w:ascii="Arial" w:hAnsi="Arial"/>
          <w:b/>
          <w:sz w:val="22"/>
        </w:rPr>
      </w:pPr>
      <w:r>
        <w:rPr>
          <w:rFonts w:ascii="Arial" w:hAnsi="Arial"/>
          <w:b/>
          <w:sz w:val="22"/>
        </w:rPr>
        <w:lastRenderedPageBreak/>
        <w:t>§ 5</w:t>
      </w:r>
    </w:p>
    <w:p>
      <w:pPr>
        <w:spacing w:line="240" w:lineRule="exact"/>
        <w:ind w:right="851"/>
        <w:jc w:val="center"/>
        <w:rPr>
          <w:rFonts w:ascii="Arial" w:hAnsi="Arial"/>
          <w:b/>
          <w:color w:val="000000" w:themeColor="text1"/>
          <w:sz w:val="24"/>
        </w:rPr>
      </w:pPr>
      <w:r>
        <w:rPr>
          <w:rFonts w:ascii="Arial" w:hAnsi="Arial"/>
          <w:b/>
          <w:color w:val="000000" w:themeColor="text1"/>
          <w:sz w:val="22"/>
        </w:rPr>
        <w:t>Duldungspflichten</w:t>
      </w:r>
    </w:p>
    <w:p>
      <w:pPr>
        <w:pStyle w:val="Kopfzeile"/>
        <w:tabs>
          <w:tab w:val="clear" w:pos="4536"/>
          <w:tab w:val="clear" w:pos="9072"/>
        </w:tabs>
        <w:spacing w:line="240" w:lineRule="exact"/>
        <w:ind w:right="851"/>
        <w:rPr>
          <w:rFonts w:ascii="Arial" w:hAnsi="Arial"/>
          <w:color w:val="000000" w:themeColor="text1"/>
        </w:rPr>
      </w:pPr>
    </w:p>
    <w:p>
      <w:pPr>
        <w:spacing w:line="240" w:lineRule="exact"/>
        <w:ind w:right="851"/>
        <w:rPr>
          <w:rFonts w:ascii="Arial" w:hAnsi="Arial" w:cs="Arial"/>
          <w:color w:val="000000" w:themeColor="text1"/>
          <w:sz w:val="22"/>
        </w:rPr>
      </w:pPr>
      <w:r>
        <w:rPr>
          <w:rFonts w:ascii="Arial" w:hAnsi="Arial" w:cs="Arial"/>
          <w:color w:val="000000" w:themeColor="text1"/>
          <w:sz w:val="22"/>
        </w:rPr>
        <w:t xml:space="preserve">(1) Die Eigentümer und Nutzungsberechtigten von Grundstücken innerhalb des Wasserschutzgebietes haben die Maßnahmen der unteren </w:t>
      </w:r>
      <w:r>
        <w:rPr>
          <w:rFonts w:ascii="Arial" w:hAnsi="Arial" w:cs="Arial"/>
          <w:bCs/>
          <w:color w:val="000000" w:themeColor="text1"/>
          <w:sz w:val="22"/>
        </w:rPr>
        <w:t>Wasserbehörde oder deren Beauftragten</w:t>
      </w:r>
      <w:r>
        <w:rPr>
          <w:rFonts w:ascii="Arial" w:hAnsi="Arial" w:cs="Arial"/>
          <w:color w:val="000000" w:themeColor="text1"/>
          <w:sz w:val="22"/>
        </w:rPr>
        <w:t xml:space="preserve"> zu dulden und insbesondere zuzulassen, dass</w:t>
      </w:r>
      <w:r>
        <w:rPr>
          <w:rFonts w:ascii="Arial" w:hAnsi="Arial" w:cs="Arial"/>
          <w:color w:val="000000" w:themeColor="text1"/>
          <w:sz w:val="22"/>
        </w:rPr>
        <w:br/>
      </w:r>
    </w:p>
    <w:p>
      <w:pPr>
        <w:numPr>
          <w:ilvl w:val="0"/>
          <w:numId w:val="1"/>
        </w:numPr>
        <w:spacing w:line="240" w:lineRule="exact"/>
        <w:ind w:right="851"/>
        <w:rPr>
          <w:rFonts w:ascii="Arial" w:hAnsi="Arial"/>
          <w:color w:val="000000" w:themeColor="text1"/>
          <w:sz w:val="22"/>
        </w:rPr>
      </w:pPr>
      <w:r>
        <w:rPr>
          <w:rFonts w:ascii="Arial" w:hAnsi="Arial"/>
          <w:color w:val="000000" w:themeColor="text1"/>
          <w:sz w:val="22"/>
        </w:rPr>
        <w:t>der Zustand und die Nutzung des Wasserschutzgebietes überwacht und in diesem Rahmen Maßnahmen zur Beobachtung der Gewässer und des Bodens getroffen werden,</w:t>
      </w:r>
      <w:r>
        <w:rPr>
          <w:rFonts w:ascii="Arial" w:hAnsi="Arial"/>
          <w:color w:val="000000" w:themeColor="text1"/>
          <w:sz w:val="22"/>
        </w:rPr>
        <w:br/>
      </w:r>
    </w:p>
    <w:p>
      <w:pPr>
        <w:numPr>
          <w:ilvl w:val="0"/>
          <w:numId w:val="1"/>
        </w:numPr>
        <w:spacing w:line="240" w:lineRule="exact"/>
        <w:ind w:right="851"/>
        <w:rPr>
          <w:rFonts w:ascii="Arial" w:hAnsi="Arial"/>
          <w:color w:val="000000" w:themeColor="text1"/>
          <w:sz w:val="22"/>
        </w:rPr>
      </w:pPr>
      <w:r>
        <w:rPr>
          <w:rFonts w:ascii="Arial" w:hAnsi="Arial"/>
          <w:color w:val="000000" w:themeColor="text1"/>
          <w:sz w:val="22"/>
        </w:rPr>
        <w:t>bestehende bauliche Anlagen, sonstige Anlagen und Einrichtungen daraufhin überprüft werden, ob die Verbote und Nutzungsbeschränkungen sowie getroffene Anordnungen und erteilte Auflagen beachtet und eingehalten werden,</w:t>
      </w:r>
      <w:r>
        <w:rPr>
          <w:rFonts w:ascii="Arial" w:hAnsi="Arial"/>
          <w:color w:val="000000" w:themeColor="text1"/>
          <w:sz w:val="22"/>
        </w:rPr>
        <w:br/>
      </w:r>
    </w:p>
    <w:p>
      <w:pPr>
        <w:numPr>
          <w:ilvl w:val="0"/>
          <w:numId w:val="1"/>
        </w:numPr>
        <w:spacing w:line="240" w:lineRule="exact"/>
        <w:ind w:right="851"/>
        <w:rPr>
          <w:rFonts w:ascii="Arial" w:hAnsi="Arial"/>
          <w:color w:val="000000" w:themeColor="text1"/>
          <w:sz w:val="22"/>
        </w:rPr>
      </w:pPr>
      <w:r>
        <w:rPr>
          <w:rFonts w:ascii="Arial" w:hAnsi="Arial"/>
          <w:color w:val="000000" w:themeColor="text1"/>
          <w:sz w:val="22"/>
        </w:rPr>
        <w:t>Proben von den zum Einsatz bestimmten Dünge- und Pflanzenschutzmitteln sowie Boden-, Vegetations- und Wasserproben genommen werden und</w:t>
      </w:r>
      <w:r>
        <w:rPr>
          <w:rFonts w:ascii="Arial" w:hAnsi="Arial"/>
          <w:color w:val="000000" w:themeColor="text1"/>
          <w:sz w:val="22"/>
        </w:rPr>
        <w:br/>
      </w:r>
    </w:p>
    <w:p>
      <w:pPr>
        <w:numPr>
          <w:ilvl w:val="0"/>
          <w:numId w:val="1"/>
        </w:numPr>
        <w:spacing w:line="240" w:lineRule="exact"/>
        <w:ind w:right="851"/>
        <w:rPr>
          <w:rFonts w:ascii="Arial" w:hAnsi="Arial"/>
          <w:sz w:val="22"/>
        </w:rPr>
      </w:pPr>
      <w:r>
        <w:rPr>
          <w:rFonts w:ascii="Arial" w:hAnsi="Arial"/>
          <w:sz w:val="22"/>
        </w:rPr>
        <w:t>Zäune, Hinweis-, Warn-, Gebots- und Verbotszeichen aufgestellt, unterhalten oder beseitigt werden.</w:t>
      </w:r>
    </w:p>
    <w:p>
      <w:pPr>
        <w:pStyle w:val="Kopfzeile"/>
        <w:tabs>
          <w:tab w:val="clear" w:pos="4536"/>
          <w:tab w:val="clear" w:pos="9072"/>
        </w:tabs>
        <w:spacing w:line="240" w:lineRule="exact"/>
        <w:ind w:right="851"/>
        <w:rPr>
          <w:rFonts w:ascii="Arial" w:hAnsi="Arial"/>
        </w:rPr>
      </w:pPr>
    </w:p>
    <w:p>
      <w:pPr>
        <w:pStyle w:val="Textkrper"/>
        <w:ind w:right="851"/>
      </w:pPr>
      <w:r>
        <w:t>(</w:t>
      </w:r>
      <w:r>
        <w:rPr>
          <w:sz w:val="22"/>
        </w:rPr>
        <w:t>2) Gleiches gilt, wenn Aufgaben nach Absatz 1 Nummer 1, 3 oder 4 im Rahmen der Selbstüberwachung durch den Begünstigten wahrgenommen werden.</w:t>
      </w:r>
      <w:r>
        <w:t xml:space="preserve"> </w:t>
      </w:r>
    </w:p>
    <w:p>
      <w:pPr>
        <w:pStyle w:val="Textkrper"/>
        <w:ind w:right="851"/>
      </w:pPr>
    </w:p>
    <w:p>
      <w:pPr>
        <w:spacing w:line="240" w:lineRule="exact"/>
        <w:ind w:right="851"/>
        <w:jc w:val="center"/>
        <w:rPr>
          <w:rFonts w:ascii="Arial" w:hAnsi="Arial"/>
          <w:b/>
          <w:sz w:val="22"/>
        </w:rPr>
      </w:pPr>
      <w:r>
        <w:rPr>
          <w:rFonts w:ascii="Arial" w:hAnsi="Arial"/>
          <w:b/>
          <w:sz w:val="22"/>
        </w:rPr>
        <w:t xml:space="preserve">§ 6 </w:t>
      </w:r>
    </w:p>
    <w:p>
      <w:pPr>
        <w:spacing w:line="240" w:lineRule="exact"/>
        <w:ind w:right="851"/>
        <w:jc w:val="center"/>
        <w:rPr>
          <w:rFonts w:ascii="Arial" w:hAnsi="Arial"/>
          <w:b/>
          <w:sz w:val="22"/>
        </w:rPr>
      </w:pPr>
      <w:r>
        <w:rPr>
          <w:rFonts w:ascii="Arial" w:hAnsi="Arial"/>
          <w:b/>
          <w:sz w:val="22"/>
        </w:rPr>
        <w:t>Befreiung</w:t>
      </w:r>
    </w:p>
    <w:p>
      <w:pPr>
        <w:spacing w:line="240" w:lineRule="exact"/>
        <w:ind w:right="851"/>
        <w:jc w:val="center"/>
        <w:rPr>
          <w:rFonts w:ascii="Arial" w:hAnsi="Arial"/>
          <w:b/>
          <w:color w:val="000000" w:themeColor="text1"/>
          <w:sz w:val="22"/>
        </w:rPr>
      </w:pPr>
    </w:p>
    <w:p>
      <w:pPr>
        <w:overflowPunct/>
        <w:ind w:right="851"/>
        <w:textAlignment w:val="auto"/>
        <w:rPr>
          <w:rFonts w:ascii="Arial" w:hAnsi="Arial"/>
          <w:color w:val="000000" w:themeColor="text1"/>
          <w:sz w:val="22"/>
        </w:rPr>
      </w:pPr>
      <w:r>
        <w:rPr>
          <w:rFonts w:ascii="Arial" w:hAnsi="Arial"/>
          <w:color w:val="000000" w:themeColor="text1"/>
          <w:sz w:val="22"/>
        </w:rPr>
        <w:t>(1) Bei Entscheidungen der unteren Wasserbehörde zu Befreiungen von den Verboten, Beschränkungen sowie Duldungs- und Handlungspflichten nach §§ 3 bis 5 sind § 52 Absatz 1 Satz 2 und 3 des Wasserhaushaltsgesetzes entsprechend anwendbar.</w:t>
      </w:r>
    </w:p>
    <w:p>
      <w:pPr>
        <w:overflowPunct/>
        <w:ind w:right="851"/>
        <w:textAlignment w:val="auto"/>
        <w:rPr>
          <w:rFonts w:ascii="Arial" w:hAnsi="Arial"/>
          <w:color w:val="000000" w:themeColor="text1"/>
          <w:sz w:val="22"/>
        </w:rPr>
      </w:pPr>
      <w:r>
        <w:rPr>
          <w:rFonts w:ascii="Arial" w:hAnsi="Arial"/>
          <w:color w:val="000000" w:themeColor="text1"/>
          <w:sz w:val="22"/>
        </w:rPr>
        <w:t>Ist gleichzeitig über die Erteilung einer Baugenehmigung zu entscheiden, ist § 113a Satz 1 des Wassergesetzes des Landes Mecklenburg-Vorpommern zu berücksichtigen.</w:t>
      </w:r>
    </w:p>
    <w:p>
      <w:pPr>
        <w:overflowPunct/>
        <w:ind w:right="851"/>
        <w:textAlignment w:val="auto"/>
        <w:rPr>
          <w:rFonts w:ascii="Arial" w:hAnsi="Arial"/>
          <w:color w:val="000000" w:themeColor="text1"/>
          <w:sz w:val="22"/>
        </w:rPr>
      </w:pPr>
    </w:p>
    <w:p>
      <w:pPr>
        <w:overflowPunct/>
        <w:ind w:right="851"/>
        <w:textAlignment w:val="auto"/>
        <w:rPr>
          <w:rFonts w:ascii="Arial" w:hAnsi="Arial" w:cs="Arial"/>
          <w:color w:val="000000" w:themeColor="text1"/>
          <w:sz w:val="22"/>
          <w:szCs w:val="22"/>
        </w:rPr>
      </w:pPr>
      <w:r>
        <w:rPr>
          <w:rFonts w:ascii="Arial" w:hAnsi="Arial"/>
          <w:color w:val="000000" w:themeColor="text1"/>
          <w:sz w:val="22"/>
        </w:rPr>
        <w:t xml:space="preserve">(2) </w:t>
      </w:r>
      <w:r>
        <w:rPr>
          <w:rFonts w:ascii="Arial" w:hAnsi="Arial" w:cs="Arial"/>
          <w:color w:val="000000" w:themeColor="text1"/>
          <w:sz w:val="22"/>
          <w:szCs w:val="22"/>
        </w:rPr>
        <w:t xml:space="preserve">Vor Entscheidungen nach Absatz 1 ist der Begünstigte zu hören. </w:t>
      </w:r>
    </w:p>
    <w:p>
      <w:pPr>
        <w:overflowPunct/>
        <w:ind w:right="851"/>
        <w:textAlignment w:val="auto"/>
        <w:rPr>
          <w:rFonts w:ascii="Arial" w:hAnsi="Arial"/>
          <w:b/>
          <w:color w:val="000000" w:themeColor="text1"/>
          <w:sz w:val="22"/>
        </w:rPr>
      </w:pPr>
    </w:p>
    <w:p>
      <w:pPr>
        <w:spacing w:line="240" w:lineRule="exact"/>
        <w:ind w:right="851"/>
        <w:jc w:val="center"/>
        <w:rPr>
          <w:rFonts w:ascii="Arial" w:hAnsi="Arial"/>
          <w:b/>
          <w:color w:val="000000" w:themeColor="text1"/>
          <w:sz w:val="22"/>
        </w:rPr>
      </w:pPr>
      <w:r>
        <w:rPr>
          <w:rFonts w:ascii="Arial" w:hAnsi="Arial"/>
          <w:b/>
          <w:color w:val="000000" w:themeColor="text1"/>
          <w:sz w:val="22"/>
        </w:rPr>
        <w:t>§ 7</w:t>
      </w:r>
    </w:p>
    <w:p>
      <w:pPr>
        <w:spacing w:line="240" w:lineRule="exact"/>
        <w:ind w:right="851"/>
        <w:jc w:val="center"/>
        <w:rPr>
          <w:rFonts w:ascii="Arial" w:hAnsi="Arial"/>
          <w:b/>
          <w:color w:val="000000" w:themeColor="text1"/>
          <w:sz w:val="24"/>
        </w:rPr>
      </w:pPr>
      <w:r>
        <w:rPr>
          <w:rFonts w:ascii="Arial" w:hAnsi="Arial"/>
          <w:b/>
          <w:color w:val="000000" w:themeColor="text1"/>
          <w:sz w:val="22"/>
        </w:rPr>
        <w:t>Ordnungswidrigkeiten</w:t>
      </w:r>
    </w:p>
    <w:p>
      <w:pPr>
        <w:ind w:right="851"/>
        <w:rPr>
          <w:rFonts w:ascii="Arial" w:hAnsi="Arial"/>
          <w:b/>
          <w:color w:val="000000" w:themeColor="text1"/>
        </w:rPr>
      </w:pPr>
    </w:p>
    <w:p>
      <w:pPr>
        <w:ind w:right="851"/>
        <w:rPr>
          <w:rFonts w:ascii="Arial" w:hAnsi="Arial" w:cs="Arial"/>
          <w:color w:val="000000" w:themeColor="text1"/>
          <w:sz w:val="22"/>
          <w:szCs w:val="22"/>
        </w:rPr>
      </w:pPr>
      <w:r>
        <w:rPr>
          <w:rFonts w:ascii="Arial" w:hAnsi="Arial" w:cs="Arial"/>
          <w:color w:val="000000" w:themeColor="text1"/>
          <w:sz w:val="22"/>
          <w:szCs w:val="22"/>
        </w:rPr>
        <w:t xml:space="preserve">Ordnungswidrig nach § 103 Absatz 1 Nummer 7a des Wasserhaushaltsgesetzes handelt, wer vorsätzlich oder fahrlässig </w:t>
      </w:r>
    </w:p>
    <w:p>
      <w:pPr>
        <w:ind w:right="851"/>
        <w:rPr>
          <w:rFonts w:ascii="Arial" w:hAnsi="Arial" w:cs="Arial"/>
          <w:color w:val="000000" w:themeColor="text1"/>
          <w:sz w:val="22"/>
          <w:szCs w:val="22"/>
        </w:rPr>
      </w:pPr>
    </w:p>
    <w:p>
      <w:pPr>
        <w:pStyle w:val="Listenabsatz"/>
        <w:numPr>
          <w:ilvl w:val="0"/>
          <w:numId w:val="19"/>
        </w:numPr>
        <w:overflowPunct w:val="0"/>
        <w:autoSpaceDE w:val="0"/>
        <w:autoSpaceDN w:val="0"/>
        <w:adjustRightInd w:val="0"/>
        <w:spacing w:after="0" w:line="240" w:lineRule="auto"/>
        <w:ind w:right="851"/>
        <w:textAlignment w:val="baseline"/>
        <w:rPr>
          <w:rFonts w:ascii="Arial" w:hAnsi="Arial" w:cs="Arial"/>
          <w:color w:val="000000" w:themeColor="text1"/>
        </w:rPr>
      </w:pPr>
      <w:r>
        <w:rPr>
          <w:rFonts w:ascii="Arial" w:hAnsi="Arial" w:cs="Arial"/>
          <w:color w:val="000000" w:themeColor="text1"/>
        </w:rPr>
        <w:t xml:space="preserve">eine nach § 3 verbotene Handlung vornimmt, </w:t>
      </w:r>
    </w:p>
    <w:p>
      <w:pPr>
        <w:pStyle w:val="Listenabsatz"/>
        <w:numPr>
          <w:ilvl w:val="0"/>
          <w:numId w:val="19"/>
        </w:numPr>
        <w:overflowPunct w:val="0"/>
        <w:autoSpaceDE w:val="0"/>
        <w:autoSpaceDN w:val="0"/>
        <w:adjustRightInd w:val="0"/>
        <w:spacing w:after="0" w:line="240" w:lineRule="auto"/>
        <w:ind w:right="851"/>
        <w:textAlignment w:val="baseline"/>
        <w:rPr>
          <w:rFonts w:ascii="Arial" w:hAnsi="Arial" w:cs="Arial"/>
          <w:color w:val="000000" w:themeColor="text1"/>
        </w:rPr>
      </w:pPr>
      <w:r>
        <w:rPr>
          <w:rFonts w:ascii="Arial" w:hAnsi="Arial" w:cs="Arial"/>
          <w:color w:val="000000" w:themeColor="text1"/>
        </w:rPr>
        <w:t>einer Anordnung aufgrund des § 4 Absatz 2 nicht oder nur teilweise nachkommt oder</w:t>
      </w:r>
    </w:p>
    <w:p>
      <w:pPr>
        <w:pStyle w:val="Listenabsatz"/>
        <w:numPr>
          <w:ilvl w:val="0"/>
          <w:numId w:val="19"/>
        </w:numPr>
        <w:overflowPunct w:val="0"/>
        <w:autoSpaceDE w:val="0"/>
        <w:autoSpaceDN w:val="0"/>
        <w:adjustRightInd w:val="0"/>
        <w:spacing w:after="0" w:line="240" w:lineRule="auto"/>
        <w:ind w:right="851"/>
        <w:textAlignment w:val="baseline"/>
        <w:rPr>
          <w:rFonts w:ascii="Arial" w:hAnsi="Arial" w:cs="Arial"/>
          <w:color w:val="000000" w:themeColor="text1"/>
        </w:rPr>
      </w:pPr>
      <w:r>
        <w:rPr>
          <w:rFonts w:ascii="Arial" w:hAnsi="Arial" w:cs="Arial"/>
          <w:color w:val="000000" w:themeColor="text1"/>
        </w:rPr>
        <w:t xml:space="preserve">einer Duldungspflicht nach § 5 zuwiderhandelt, </w:t>
      </w:r>
    </w:p>
    <w:p>
      <w:pPr>
        <w:ind w:left="360" w:right="851"/>
        <w:rPr>
          <w:rFonts w:ascii="Arial" w:hAnsi="Arial" w:cs="Arial"/>
          <w:color w:val="000000" w:themeColor="text1"/>
          <w:sz w:val="22"/>
          <w:szCs w:val="22"/>
        </w:rPr>
      </w:pPr>
    </w:p>
    <w:p>
      <w:pPr>
        <w:ind w:right="851"/>
        <w:rPr>
          <w:rFonts w:ascii="Arial" w:hAnsi="Arial" w:cs="Arial"/>
          <w:color w:val="000000" w:themeColor="text1"/>
          <w:sz w:val="22"/>
          <w:szCs w:val="22"/>
        </w:rPr>
      </w:pPr>
      <w:r>
        <w:rPr>
          <w:rFonts w:ascii="Arial" w:hAnsi="Arial" w:cs="Arial"/>
          <w:color w:val="000000" w:themeColor="text1"/>
          <w:sz w:val="22"/>
          <w:szCs w:val="22"/>
        </w:rPr>
        <w:t>sofern keine Befreiung nach § 6 erteilt worden ist.</w:t>
      </w:r>
    </w:p>
    <w:p>
      <w:pPr>
        <w:ind w:right="851"/>
        <w:rPr>
          <w:rFonts w:ascii="Arial" w:hAnsi="Arial" w:cs="Arial"/>
          <w:sz w:val="22"/>
          <w:szCs w:val="22"/>
        </w:rPr>
      </w:pPr>
    </w:p>
    <w:p>
      <w:pPr>
        <w:spacing w:line="240" w:lineRule="exact"/>
        <w:ind w:right="851"/>
        <w:jc w:val="center"/>
        <w:rPr>
          <w:rFonts w:ascii="Arial" w:hAnsi="Arial"/>
          <w:b/>
          <w:sz w:val="22"/>
        </w:rPr>
      </w:pPr>
      <w:r>
        <w:rPr>
          <w:rFonts w:ascii="Arial" w:hAnsi="Arial"/>
          <w:b/>
          <w:sz w:val="22"/>
        </w:rPr>
        <w:t>§ 8</w:t>
      </w:r>
    </w:p>
    <w:p>
      <w:pPr>
        <w:spacing w:line="240" w:lineRule="exact"/>
        <w:ind w:right="851"/>
        <w:jc w:val="center"/>
        <w:rPr>
          <w:rFonts w:ascii="Arial" w:hAnsi="Arial"/>
          <w:sz w:val="24"/>
        </w:rPr>
      </w:pPr>
      <w:r>
        <w:rPr>
          <w:rFonts w:ascii="Arial" w:hAnsi="Arial"/>
          <w:b/>
          <w:sz w:val="22"/>
        </w:rPr>
        <w:t>Außerkrafttreten</w:t>
      </w:r>
    </w:p>
    <w:p>
      <w:pPr>
        <w:ind w:right="851"/>
        <w:rPr>
          <w:rFonts w:ascii="Arial" w:hAnsi="Arial"/>
          <w:sz w:val="24"/>
        </w:rPr>
      </w:pPr>
    </w:p>
    <w:p>
      <w:pPr>
        <w:spacing w:line="240" w:lineRule="exact"/>
        <w:rPr>
          <w:rFonts w:ascii="Arial" w:hAnsi="Arial"/>
          <w:sz w:val="22"/>
          <w:szCs w:val="22"/>
        </w:rPr>
      </w:pPr>
      <w:r>
        <w:rPr>
          <w:rFonts w:ascii="Arial" w:hAnsi="Arial" w:cs="Arial"/>
          <w:iCs/>
          <w:sz w:val="22"/>
          <w:szCs w:val="22"/>
        </w:rPr>
        <w:t xml:space="preserve">Am Tag nach der Verkündung dieser Verordnung tritt der Beschluss </w:t>
      </w:r>
      <w:r>
        <w:rPr>
          <w:rFonts w:ascii="Arial" w:hAnsi="Arial"/>
          <w:i/>
          <w:iCs/>
          <w:sz w:val="22"/>
        </w:rPr>
        <w:t xml:space="preserve">(Angabe des früheren Schutzzonenbeschlusses bzw. Verordnung) </w:t>
      </w:r>
      <w:r>
        <w:rPr>
          <w:rFonts w:ascii="Arial" w:hAnsi="Arial"/>
          <w:iCs/>
          <w:sz w:val="22"/>
        </w:rPr>
        <w:t>hinsichtlich der Wasserfassung</w:t>
      </w:r>
      <w:proofErr w:type="gramStart"/>
      <w:r>
        <w:rPr>
          <w:rFonts w:ascii="Arial" w:hAnsi="Arial"/>
          <w:i/>
          <w:iCs/>
          <w:sz w:val="22"/>
        </w:rPr>
        <w:t xml:space="preserve"> ….</w:t>
      </w:r>
      <w:proofErr w:type="gramEnd"/>
      <w:r>
        <w:rPr>
          <w:rFonts w:ascii="Arial" w:hAnsi="Arial"/>
          <w:i/>
          <w:iCs/>
          <w:sz w:val="22"/>
        </w:rPr>
        <w:t>.</w:t>
      </w:r>
      <w:r>
        <w:rPr>
          <w:rFonts w:ascii="Arial" w:hAnsi="Arial" w:cs="Arial"/>
          <w:iCs/>
          <w:sz w:val="22"/>
          <w:szCs w:val="22"/>
        </w:rPr>
        <w:t>außer Kraft.</w:t>
      </w:r>
    </w:p>
    <w:p>
      <w:pPr>
        <w:overflowPunct/>
        <w:autoSpaceDE/>
        <w:autoSpaceDN/>
        <w:adjustRightInd/>
        <w:textAlignment w:val="auto"/>
        <w:rPr>
          <w:rFonts w:ascii="Arial" w:hAnsi="Arial"/>
          <w:sz w:val="22"/>
        </w:rPr>
      </w:pPr>
      <w:r>
        <w:rPr>
          <w:rFonts w:ascii="Arial" w:hAnsi="Arial"/>
          <w:sz w:val="22"/>
        </w:rPr>
        <w:br w:type="page"/>
      </w:r>
    </w:p>
    <w:p>
      <w:pPr>
        <w:spacing w:line="240" w:lineRule="exact"/>
        <w:jc w:val="center"/>
        <w:rPr>
          <w:rFonts w:ascii="Arial" w:hAnsi="Arial"/>
          <w:b/>
          <w:sz w:val="22"/>
        </w:rPr>
      </w:pPr>
      <w:r>
        <w:rPr>
          <w:rFonts w:ascii="Arial" w:hAnsi="Arial"/>
          <w:b/>
          <w:sz w:val="22"/>
        </w:rPr>
        <w:lastRenderedPageBreak/>
        <w:t>§ 9</w:t>
      </w:r>
    </w:p>
    <w:p>
      <w:pPr>
        <w:spacing w:line="240" w:lineRule="exact"/>
        <w:jc w:val="center"/>
        <w:rPr>
          <w:rFonts w:ascii="Arial" w:hAnsi="Arial"/>
          <w:b/>
          <w:sz w:val="22"/>
        </w:rPr>
      </w:pPr>
      <w:r>
        <w:rPr>
          <w:rFonts w:ascii="Arial" w:hAnsi="Arial"/>
          <w:b/>
          <w:sz w:val="22"/>
        </w:rPr>
        <w:t>Übergangsregelung</w:t>
      </w:r>
    </w:p>
    <w:p>
      <w:pPr>
        <w:spacing w:line="240" w:lineRule="exact"/>
        <w:rPr>
          <w:rStyle w:val="indent"/>
          <w:rFonts w:ascii="Arial" w:hAnsi="Arial" w:cs="Arial"/>
          <w:color w:val="000000"/>
          <w:sz w:val="22"/>
          <w:szCs w:val="22"/>
          <w:bdr w:val="none" w:sz="0" w:space="0" w:color="auto" w:frame="1"/>
          <w:shd w:val="clear" w:color="auto" w:fill="E6F0F2"/>
        </w:rPr>
      </w:pPr>
    </w:p>
    <w:p>
      <w:pPr>
        <w:spacing w:line="240" w:lineRule="exact"/>
        <w:rPr>
          <w:rFonts w:ascii="Arial" w:hAnsi="Arial" w:cs="Arial"/>
          <w:sz w:val="22"/>
          <w:szCs w:val="22"/>
        </w:rPr>
      </w:pPr>
      <w:r>
        <w:rPr>
          <w:rFonts w:ascii="Arial" w:hAnsi="Arial" w:cs="Arial"/>
          <w:sz w:val="22"/>
          <w:szCs w:val="22"/>
        </w:rPr>
        <w:t xml:space="preserve">Für anzeigepflichtige oder genehmigungsfrei gestellte bauliche Anlagen, sonstige Anlagen oder Einrichtungen, für die bereits vor dem Inkrafttreten der Wasserschutzgebietsverordnung </w:t>
      </w:r>
      <w:r>
        <w:rPr>
          <w:rFonts w:ascii="Arial" w:hAnsi="Arial" w:cs="Arial"/>
          <w:sz w:val="22"/>
          <w:szCs w:val="22"/>
        </w:rPr>
        <w:t>(</w:t>
      </w:r>
      <w:r>
        <w:rPr>
          <w:rFonts w:ascii="Arial" w:hAnsi="Arial" w:cs="Arial"/>
          <w:i/>
          <w:sz w:val="22"/>
          <w:szCs w:val="22"/>
        </w:rPr>
        <w:t>Bezeichnung des Wasserschutzgebietes</w:t>
      </w:r>
      <w:r>
        <w:rPr>
          <w:rFonts w:ascii="Arial" w:hAnsi="Arial" w:cs="Arial"/>
          <w:sz w:val="22"/>
          <w:szCs w:val="22"/>
        </w:rPr>
        <w:t xml:space="preserve"> [einsetzen: Datum und Fundstelle dieser Verordnung] am … [einsetzen: Datum des Inkrafttretens dieser Verordnung] die Anzeige oder die erforderlichen Unterlagen bei der jeweiligen zuständigen Behörde vorgelegen haben, gilt die bis zum [einsetzen: Datum des Inkrafttretens dieser Verordnung] geltende Rechtslage fort.</w:t>
      </w:r>
    </w:p>
    <w:p>
      <w:pPr>
        <w:spacing w:line="240" w:lineRule="exact"/>
        <w:jc w:val="center"/>
        <w:rPr>
          <w:rFonts w:ascii="Arial" w:hAnsi="Arial"/>
          <w:b/>
          <w:sz w:val="22"/>
        </w:rPr>
      </w:pPr>
    </w:p>
    <w:p>
      <w:pPr>
        <w:spacing w:line="240" w:lineRule="exact"/>
        <w:jc w:val="center"/>
        <w:rPr>
          <w:rFonts w:ascii="Arial" w:hAnsi="Arial"/>
          <w:b/>
          <w:sz w:val="22"/>
        </w:rPr>
      </w:pPr>
      <w:r>
        <w:rPr>
          <w:rFonts w:ascii="Arial" w:hAnsi="Arial"/>
          <w:b/>
          <w:sz w:val="22"/>
        </w:rPr>
        <w:t>§ 10</w:t>
      </w:r>
    </w:p>
    <w:p>
      <w:pPr>
        <w:spacing w:line="240" w:lineRule="exact"/>
        <w:jc w:val="center"/>
        <w:rPr>
          <w:rFonts w:ascii="Arial" w:hAnsi="Arial"/>
          <w:b/>
          <w:sz w:val="22"/>
        </w:rPr>
      </w:pPr>
      <w:r>
        <w:rPr>
          <w:rFonts w:ascii="Arial" w:hAnsi="Arial"/>
          <w:b/>
          <w:sz w:val="22"/>
        </w:rPr>
        <w:t>Inkrafttreten</w:t>
      </w:r>
    </w:p>
    <w:p>
      <w:pPr>
        <w:spacing w:line="240" w:lineRule="exact"/>
        <w:jc w:val="center"/>
        <w:rPr>
          <w:rFonts w:ascii="Arial" w:hAnsi="Arial"/>
          <w:b/>
          <w:sz w:val="22"/>
        </w:rPr>
      </w:pPr>
    </w:p>
    <w:p>
      <w:pPr>
        <w:spacing w:line="240" w:lineRule="exact"/>
        <w:rPr>
          <w:rFonts w:ascii="Arial" w:hAnsi="Arial"/>
          <w:sz w:val="22"/>
        </w:rPr>
      </w:pPr>
      <w:r>
        <w:rPr>
          <w:rFonts w:ascii="Arial" w:hAnsi="Arial"/>
          <w:sz w:val="22"/>
        </w:rPr>
        <w:t>Diese Verordnung tritt am Tag nach der Verkündung in Kraft.</w:t>
      </w:r>
    </w:p>
    <w:p>
      <w:pPr>
        <w:spacing w:line="240" w:lineRule="exact"/>
        <w:ind w:right="851"/>
        <w:jc w:val="center"/>
        <w:rPr>
          <w:rFonts w:ascii="Arial" w:hAnsi="Arial"/>
          <w:b/>
          <w:sz w:val="22"/>
        </w:rPr>
      </w:pPr>
    </w:p>
    <w:p>
      <w:pPr>
        <w:spacing w:line="240" w:lineRule="exact"/>
        <w:ind w:right="851"/>
        <w:rPr>
          <w:rFonts w:ascii="Arial" w:hAnsi="Arial"/>
          <w:sz w:val="22"/>
        </w:rPr>
      </w:pPr>
    </w:p>
    <w:p>
      <w:pPr>
        <w:spacing w:line="240" w:lineRule="exact"/>
        <w:ind w:right="851"/>
        <w:rPr>
          <w:rFonts w:ascii="Arial" w:hAnsi="Arial"/>
          <w:sz w:val="22"/>
        </w:rPr>
      </w:pPr>
    </w:p>
    <w:p>
      <w:pPr>
        <w:spacing w:line="240" w:lineRule="exact"/>
        <w:ind w:right="851"/>
        <w:rPr>
          <w:rFonts w:ascii="Arial" w:hAnsi="Arial"/>
          <w:sz w:val="22"/>
        </w:rPr>
      </w:pPr>
    </w:p>
    <w:p>
      <w:pPr>
        <w:spacing w:line="240" w:lineRule="exact"/>
        <w:ind w:right="851"/>
        <w:rPr>
          <w:rFonts w:ascii="Arial" w:hAnsi="Arial"/>
          <w:sz w:val="22"/>
        </w:rPr>
      </w:pPr>
      <w:r>
        <w:rPr>
          <w:rFonts w:ascii="Arial" w:hAnsi="Arial"/>
          <w:sz w:val="22"/>
        </w:rPr>
        <w:t xml:space="preserve">Schwerin, den......... </w:t>
      </w:r>
    </w:p>
    <w:p>
      <w:pPr>
        <w:spacing w:line="240" w:lineRule="exact"/>
        <w:ind w:right="851"/>
        <w:rPr>
          <w:rFonts w:ascii="Arial" w:hAnsi="Arial"/>
          <w:sz w:val="24"/>
        </w:rPr>
      </w:pPr>
    </w:p>
    <w:p>
      <w:pPr>
        <w:spacing w:line="240" w:lineRule="exact"/>
        <w:ind w:right="851"/>
        <w:rPr>
          <w:rFonts w:ascii="Arial" w:hAnsi="Arial"/>
          <w:sz w:val="24"/>
        </w:rPr>
      </w:pPr>
    </w:p>
    <w:p>
      <w:pPr>
        <w:ind w:right="851"/>
        <w:jc w:val="center"/>
        <w:rPr>
          <w:rFonts w:ascii="Arial" w:hAnsi="Arial" w:cs="Arial"/>
          <w:b/>
          <w:sz w:val="22"/>
        </w:rPr>
      </w:pPr>
      <w:r>
        <w:rPr>
          <w:rFonts w:ascii="Arial" w:hAnsi="Arial" w:cs="Arial"/>
          <w:b/>
          <w:sz w:val="22"/>
        </w:rPr>
        <w:t xml:space="preserve">Der Minister für Klimaschutz, Landwirtschaft, ländliche Räume und Umwelt </w:t>
      </w:r>
    </w:p>
    <w:p>
      <w:pPr>
        <w:ind w:right="851"/>
        <w:jc w:val="center"/>
        <w:rPr>
          <w:rFonts w:ascii="Arial" w:hAnsi="Arial" w:cs="Arial"/>
          <w:b/>
          <w:sz w:val="22"/>
        </w:rPr>
      </w:pPr>
    </w:p>
    <w:p>
      <w:pPr>
        <w:ind w:right="851"/>
        <w:jc w:val="center"/>
        <w:rPr>
          <w:rFonts w:ascii="Arial" w:hAnsi="Arial" w:cs="Arial"/>
          <w:b/>
          <w:sz w:val="22"/>
        </w:rPr>
      </w:pPr>
      <w:r>
        <w:rPr>
          <w:rFonts w:ascii="Arial" w:hAnsi="Arial" w:cs="Arial"/>
          <w:b/>
          <w:sz w:val="22"/>
        </w:rPr>
        <w:t>Dr. Till Backhaus</w:t>
      </w:r>
    </w:p>
    <w:p>
      <w:pPr>
        <w:overflowPunct/>
        <w:autoSpaceDE/>
        <w:autoSpaceDN/>
        <w:adjustRightInd/>
        <w:ind w:right="851"/>
        <w:textAlignment w:val="auto"/>
        <w:rPr>
          <w:rFonts w:ascii="Arial" w:hAnsi="Arial"/>
          <w:bCs/>
        </w:rPr>
      </w:pPr>
    </w:p>
    <w:sectPr>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7" w:h="16840"/>
      <w:pgMar w:top="1417" w:right="1417" w:bottom="1134" w:left="1417"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FDD9A8" w16cex:dateUtc="2021-03-18T12:52:00Z"/>
  <w16cex:commentExtensible w16cex:durableId="243FA0B3" w16cex:dateUtc="2021-05-07T09:19:00Z"/>
  <w16cex:commentExtensible w16cex:durableId="243FAD28" w16cex:dateUtc="2021-05-07T10:12:00Z"/>
  <w16cex:commentExtensible w16cex:durableId="243FCB33" w16cex:dateUtc="2021-05-07T12:20:00Z"/>
  <w16cex:commentExtensible w16cex:durableId="243FCAD5" w16cex:dateUtc="2021-05-07T1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8026D3" w16cid:durableId="23F06E7C"/>
  <w16cid:commentId w16cid:paraId="1B7BA374" w16cid:durableId="23FDD9A8"/>
  <w16cid:commentId w16cid:paraId="15EB9AEE" w16cid:durableId="243FA0B3"/>
  <w16cid:commentId w16cid:paraId="107B3181" w16cid:durableId="243FAD28"/>
  <w16cid:commentId w16cid:paraId="2265C0AA" w16cid:durableId="240FFD88"/>
  <w16cid:commentId w16cid:paraId="38F8FDC1" w16cid:durableId="23821155"/>
  <w16cid:commentId w16cid:paraId="1E9B1DDC" w16cid:durableId="240FFD8A"/>
  <w16cid:commentId w16cid:paraId="102057EC" w16cid:durableId="240FFD8B"/>
  <w16cid:commentId w16cid:paraId="0884F918" w16cid:durableId="23F06E81"/>
  <w16cid:commentId w16cid:paraId="4A503A54" w16cid:durableId="240FFD8D"/>
  <w16cid:commentId w16cid:paraId="3C650099" w16cid:durableId="240FFD8E"/>
  <w16cid:commentId w16cid:paraId="633A01EF" w16cid:durableId="240FFD8F"/>
  <w16cid:commentId w16cid:paraId="0B93A4CA" w16cid:durableId="240FFD90"/>
  <w16cid:commentId w16cid:paraId="392BC3F1" w16cid:durableId="240FFD91"/>
  <w16cid:commentId w16cid:paraId="2B36B6BD" w16cid:durableId="243FCB33"/>
  <w16cid:commentId w16cid:paraId="1D4E0259" w16cid:durableId="243FCAD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09961"/>
      <w:docPartObj>
        <w:docPartGallery w:val="Page Numbers (Bottom of Page)"/>
        <w:docPartUnique/>
      </w:docPartObj>
    </w:sdtPr>
    <w:sdtContent>
      <w:p>
        <w:pPr>
          <w:pStyle w:val="Fuzeile"/>
          <w:jc w:val="center"/>
        </w:pPr>
        <w:r>
          <w:rPr>
            <w:noProof/>
          </w:rPr>
          <w:fldChar w:fldCharType="begin"/>
        </w:r>
        <w:r>
          <w:rPr>
            <w:noProof/>
          </w:rPr>
          <w:instrText xml:space="preserve"> PAGE   \* MERGEFORMAT </w:instrText>
        </w:r>
        <w:r>
          <w:rPr>
            <w:noProof/>
          </w:rPr>
          <w:fldChar w:fldCharType="separate"/>
        </w:r>
        <w:r>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09962"/>
      <w:docPartObj>
        <w:docPartGallery w:val="Page Numbers (Bottom of Page)"/>
        <w:docPartUnique/>
      </w:docPartObj>
    </w:sdtPr>
    <w:sdtContent>
      <w:p>
        <w:pPr>
          <w:pStyle w:val="Fuzeile"/>
          <w:jc w:val="center"/>
        </w:pPr>
        <w:r>
          <w:rPr>
            <w:noProof/>
          </w:rPr>
          <w:fldChar w:fldCharType="begin"/>
        </w:r>
        <w:r>
          <w:rPr>
            <w:noProof/>
          </w:rPr>
          <w:instrText xml:space="preserve"> PAGE   \* MERGEFORMAT </w:instrText>
        </w:r>
        <w:r>
          <w:rPr>
            <w:noProof/>
          </w:rPr>
          <w:fldChar w:fldCharType="separate"/>
        </w:r>
        <w:r>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09960"/>
      <w:docPartObj>
        <w:docPartGallery w:val="Page Numbers (Bottom of Page)"/>
        <w:docPartUnique/>
      </w:docPartObj>
    </w:sdtPr>
    <w:sdtContent>
      <w:p>
        <w:pPr>
          <w:pStyle w:val="Fuzeile"/>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987110" o:spid="_x0000_s2093" type="#_x0000_t136" style="position:absolute;margin-left:0;margin-top:0;width:575.15pt;height:164.3pt;rotation:315;z-index:-251655168;mso-position-horizontal:center;mso-position-horizontal-relative:margin;mso-position-vertical:center;mso-position-vertical-relative:margin" o:allowincell="f" fillcolor="silver" stroked="f">
          <v:fill opacity=".5"/>
          <v:textpath style="font-family:&quot;Times New Roman&quot;;font-size:1pt" string="MUST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987111" o:spid="_x0000_s2094" type="#_x0000_t136" style="position:absolute;margin-left:0;margin-top:0;width:575.15pt;height:164.3pt;rotation:315;z-index:-251653120;mso-position-horizontal:center;mso-position-horizontal-relative:margin;mso-position-vertical:center;mso-position-vertical-relative:margin" o:allowincell="f" fillcolor="silver" stroked="f">
          <v:fill opacity=".5"/>
          <v:textpath style="font-family:&quot;Times New Roman&quot;;font-size:1pt" string="MUST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jc w:val="righ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987109" o:spid="_x0000_s2092" type="#_x0000_t136" style="position:absolute;left:0;text-align:left;margin-left:0;margin-top:0;width:575.15pt;height:164.3pt;rotation:315;z-index:-251657216;mso-position-horizontal:center;mso-position-horizontal-relative:margin;mso-position-vertical:center;mso-position-vertical-relative:margin" o:allowincell="f" fillcolor="silver" stroked="f">
          <v:fill opacity=".5"/>
          <v:textpath style="font-family:&quot;Times New Roman&quot;;font-size:1pt" string="MUSTER"/>
          <w10:wrap anchorx="margin" anchory="margin"/>
        </v:shape>
      </w:pict>
    </w:r>
    <w:r>
      <w:t>Anlage 3 zum Erlass vom 23.01.2014, aktualisiert am 03.06.2025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C01A3"/>
    <w:multiLevelType w:val="hybridMultilevel"/>
    <w:tmpl w:val="2C5AE44A"/>
    <w:lvl w:ilvl="0" w:tplc="04070003">
      <w:start w:val="1"/>
      <w:numFmt w:val="bullet"/>
      <w:lvlText w:val="o"/>
      <w:lvlJc w:val="left"/>
      <w:pPr>
        <w:ind w:left="360" w:hanging="360"/>
      </w:pPr>
      <w:rPr>
        <w:rFonts w:ascii="Courier New" w:hAnsi="Courier New" w:cs="Courier New"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08A6293"/>
    <w:multiLevelType w:val="hybridMultilevel"/>
    <w:tmpl w:val="A95A68E6"/>
    <w:lvl w:ilvl="0" w:tplc="04070001">
      <w:start w:val="1"/>
      <w:numFmt w:val="bullet"/>
      <w:lvlText w:val=""/>
      <w:lvlJc w:val="left"/>
      <w:pPr>
        <w:ind w:left="1069" w:hanging="360"/>
      </w:pPr>
      <w:rPr>
        <w:rFonts w:ascii="Symbol" w:eastAsia="Times New Roman" w:hAnsi="Symbol" w:cs="Times New Roman"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2" w15:restartNumberingAfterBreak="0">
    <w:nsid w:val="07C133E1"/>
    <w:multiLevelType w:val="hybridMultilevel"/>
    <w:tmpl w:val="F1FAA4D2"/>
    <w:lvl w:ilvl="0" w:tplc="47C48354">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AA22CCB"/>
    <w:multiLevelType w:val="hybridMultilevel"/>
    <w:tmpl w:val="FB9050A6"/>
    <w:lvl w:ilvl="0" w:tplc="53347F92">
      <w:start w:val="1"/>
      <w:numFmt w:val="decimal"/>
      <w:lvlText w:val="%1."/>
      <w:lvlJc w:val="left"/>
      <w:pPr>
        <w:ind w:left="720" w:hanging="360"/>
      </w:pPr>
      <w:rPr>
        <w:rFonts w:hint="default"/>
        <w:b w:val="0"/>
        <w:i w:val="0"/>
        <w:sz w:val="22"/>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48A1C1A"/>
    <w:multiLevelType w:val="hybridMultilevel"/>
    <w:tmpl w:val="B6B4AB3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A490F18"/>
    <w:multiLevelType w:val="hybridMultilevel"/>
    <w:tmpl w:val="7814044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B845E7A"/>
    <w:multiLevelType w:val="multilevel"/>
    <w:tmpl w:val="6EA62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F64E6E"/>
    <w:multiLevelType w:val="hybridMultilevel"/>
    <w:tmpl w:val="B640270E"/>
    <w:lvl w:ilvl="0" w:tplc="F12A956C">
      <w:start w:val="1"/>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89932B7"/>
    <w:multiLevelType w:val="hybridMultilevel"/>
    <w:tmpl w:val="9A4A99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9623DFE"/>
    <w:multiLevelType w:val="hybridMultilevel"/>
    <w:tmpl w:val="9832251C"/>
    <w:lvl w:ilvl="0" w:tplc="47781FC0">
      <w:start w:val="1"/>
      <w:numFmt w:val="decimal"/>
      <w:lvlText w:val="%1."/>
      <w:lvlJc w:val="left"/>
      <w:pPr>
        <w:ind w:left="720" w:hanging="360"/>
      </w:pPr>
      <w:rPr>
        <w:rFonts w:hint="default"/>
        <w:b w:val="0"/>
        <w:i w:val="0"/>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9AE4015"/>
    <w:multiLevelType w:val="hybridMultilevel"/>
    <w:tmpl w:val="DC5E7D7E"/>
    <w:lvl w:ilvl="0" w:tplc="89B8C97A">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F521FA5"/>
    <w:multiLevelType w:val="hybridMultilevel"/>
    <w:tmpl w:val="7F2C575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9150B86"/>
    <w:multiLevelType w:val="hybridMultilevel"/>
    <w:tmpl w:val="8800E42C"/>
    <w:lvl w:ilvl="0" w:tplc="04070001">
      <w:start w:val="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DB745F0"/>
    <w:multiLevelType w:val="hybridMultilevel"/>
    <w:tmpl w:val="35E63EB8"/>
    <w:lvl w:ilvl="0" w:tplc="04070003">
      <w:start w:val="1"/>
      <w:numFmt w:val="bullet"/>
      <w:lvlText w:val="o"/>
      <w:lvlJc w:val="left"/>
      <w:pPr>
        <w:ind w:left="360" w:hanging="360"/>
      </w:pPr>
      <w:rPr>
        <w:rFonts w:ascii="Courier New" w:hAnsi="Courier New" w:cs="Courier New"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50AE7320"/>
    <w:multiLevelType w:val="singleLevel"/>
    <w:tmpl w:val="AC4EB0D8"/>
    <w:lvl w:ilvl="0">
      <w:start w:val="1"/>
      <w:numFmt w:val="decimal"/>
      <w:lvlText w:val="%1."/>
      <w:legacy w:legacy="1" w:legacySpace="0" w:legacyIndent="283"/>
      <w:lvlJc w:val="left"/>
      <w:pPr>
        <w:ind w:left="283" w:hanging="283"/>
      </w:pPr>
    </w:lvl>
  </w:abstractNum>
  <w:abstractNum w:abstractNumId="15" w15:restartNumberingAfterBreak="0">
    <w:nsid w:val="50F17A97"/>
    <w:multiLevelType w:val="hybridMultilevel"/>
    <w:tmpl w:val="FC3071C2"/>
    <w:lvl w:ilvl="0" w:tplc="5C5CA518">
      <w:start w:val="1"/>
      <w:numFmt w:val="bullet"/>
      <w:lvlText w:val=""/>
      <w:lvlJc w:val="left"/>
      <w:pPr>
        <w:tabs>
          <w:tab w:val="num" w:pos="720"/>
        </w:tabs>
        <w:ind w:left="720" w:hanging="360"/>
      </w:pPr>
      <w:rPr>
        <w:rFonts w:ascii="Symbol" w:eastAsia="Times New Roman" w:hAnsi="Symbol" w:cs="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8881B38"/>
    <w:multiLevelType w:val="hybridMultilevel"/>
    <w:tmpl w:val="3A682F28"/>
    <w:lvl w:ilvl="0" w:tplc="50CAE5AA">
      <w:start w:val="1"/>
      <w:numFmt w:val="bullet"/>
      <w:lvlText w:val=""/>
      <w:lvlJc w:val="left"/>
      <w:pPr>
        <w:tabs>
          <w:tab w:val="num" w:pos="720"/>
        </w:tabs>
        <w:ind w:left="720" w:hanging="360"/>
      </w:pPr>
      <w:rPr>
        <w:rFonts w:ascii="Symbol" w:eastAsia="Times New Roman" w:hAnsi="Symbol" w:cs="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A0549ED"/>
    <w:multiLevelType w:val="hybridMultilevel"/>
    <w:tmpl w:val="BBCACF30"/>
    <w:lvl w:ilvl="0" w:tplc="04070001">
      <w:start w:val="5"/>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34048B7"/>
    <w:multiLevelType w:val="hybridMultilevel"/>
    <w:tmpl w:val="26E8ED4A"/>
    <w:lvl w:ilvl="0" w:tplc="98B2761A">
      <w:start w:val="4"/>
      <w:numFmt w:val="bullet"/>
      <w:lvlText w:val=""/>
      <w:lvlJc w:val="left"/>
      <w:pPr>
        <w:tabs>
          <w:tab w:val="num" w:pos="720"/>
        </w:tabs>
        <w:ind w:left="720" w:hanging="360"/>
      </w:pPr>
      <w:rPr>
        <w:rFonts w:ascii="Symbol" w:eastAsia="Times New Roman" w:hAnsi="Symbol" w:cs="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083EEB"/>
    <w:multiLevelType w:val="hybridMultilevel"/>
    <w:tmpl w:val="1004C9F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701368"/>
    <w:multiLevelType w:val="hybridMultilevel"/>
    <w:tmpl w:val="7818D39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4"/>
  </w:num>
  <w:num w:numId="2">
    <w:abstractNumId w:val="16"/>
  </w:num>
  <w:num w:numId="3">
    <w:abstractNumId w:val="15"/>
  </w:num>
  <w:num w:numId="4">
    <w:abstractNumId w:val="18"/>
  </w:num>
  <w:num w:numId="5">
    <w:abstractNumId w:val="19"/>
  </w:num>
  <w:num w:numId="6">
    <w:abstractNumId w:val="8"/>
  </w:num>
  <w:num w:numId="7">
    <w:abstractNumId w:val="3"/>
  </w:num>
  <w:num w:numId="8">
    <w:abstractNumId w:val="4"/>
  </w:num>
  <w:num w:numId="9">
    <w:abstractNumId w:val="17"/>
  </w:num>
  <w:num w:numId="10">
    <w:abstractNumId w:val="1"/>
  </w:num>
  <w:num w:numId="11">
    <w:abstractNumId w:val="12"/>
  </w:num>
  <w:num w:numId="12">
    <w:abstractNumId w:val="2"/>
  </w:num>
  <w:num w:numId="13">
    <w:abstractNumId w:val="6"/>
  </w:num>
  <w:num w:numId="14">
    <w:abstractNumId w:val="9"/>
  </w:num>
  <w:num w:numId="15">
    <w:abstractNumId w:val="10"/>
  </w:num>
  <w:num w:numId="16">
    <w:abstractNumId w:val="20"/>
  </w:num>
  <w:num w:numId="17">
    <w:abstractNumId w:val="5"/>
  </w:num>
  <w:num w:numId="18">
    <w:abstractNumId w:val="7"/>
  </w:num>
  <w:num w:numId="19">
    <w:abstractNumId w:val="11"/>
  </w:num>
  <w:num w:numId="20">
    <w:abstractNumId w:val="1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evenAndOddHeader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95"/>
    <o:shapelayout v:ext="edit">
      <o:idmap v:ext="edit" data="2"/>
    </o:shapelayout>
  </w:hdrShapeDefaults>
  <w:footnotePr>
    <w:numRestart w:val="eachSect"/>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5"/>
    <o:shapelayout v:ext="edit">
      <o:idmap v:ext="edit" data="1"/>
    </o:shapelayout>
  </w:shapeDefaults>
  <w:decimalSymbol w:val=","/>
  <w:listSeparator w:val=";"/>
  <w15:docId w15:val="{6AC20C9B-0E49-49AA-87B2-D8D7D475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link w:val="berschrift1Zchn"/>
    <w:uiPriority w:val="9"/>
    <w:qFormat/>
    <w:pPr>
      <w:keepNext/>
      <w:spacing w:line="240" w:lineRule="exact"/>
      <w:jc w:val="center"/>
      <w:outlineLvl w:val="0"/>
    </w:pPr>
    <w:rPr>
      <w:rFonts w:ascii="Arial" w:hAnsi="Arial"/>
      <w:b/>
      <w:sz w:val="24"/>
    </w:rPr>
  </w:style>
  <w:style w:type="paragraph" w:styleId="berschrift2">
    <w:name w:val="heading 2"/>
    <w:basedOn w:val="Standard"/>
    <w:next w:val="Standard"/>
    <w:qFormat/>
    <w:pPr>
      <w:keepNext/>
      <w:spacing w:line="240" w:lineRule="exact"/>
      <w:jc w:val="right"/>
      <w:outlineLvl w:val="1"/>
    </w:pPr>
    <w:rPr>
      <w:rFonts w:ascii="Arial" w:hAnsi="Arial"/>
      <w:sz w:val="24"/>
    </w:rPr>
  </w:style>
  <w:style w:type="paragraph" w:styleId="berschrift3">
    <w:name w:val="heading 3"/>
    <w:basedOn w:val="Standard"/>
    <w:next w:val="Standard"/>
    <w:qFormat/>
    <w:pPr>
      <w:keepNext/>
      <w:spacing w:line="240" w:lineRule="exact"/>
      <w:outlineLvl w:val="2"/>
    </w:pPr>
    <w:rPr>
      <w:rFonts w:ascii="Arial" w:hAnsi="Arial"/>
      <w:sz w:val="24"/>
    </w:rPr>
  </w:style>
  <w:style w:type="paragraph" w:styleId="berschrift4">
    <w:name w:val="heading 4"/>
    <w:basedOn w:val="Standard"/>
    <w:next w:val="Standard"/>
    <w:qFormat/>
    <w:pPr>
      <w:keepNext/>
      <w:spacing w:line="240" w:lineRule="exact"/>
      <w:outlineLvl w:val="3"/>
    </w:pPr>
    <w:rPr>
      <w:rFonts w:ascii="Arial" w:hAnsi="Arial"/>
      <w:i/>
      <w:iCs/>
      <w:sz w:val="2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Textkrper">
    <w:name w:val="Body Text"/>
    <w:basedOn w:val="Standard"/>
    <w:pPr>
      <w:spacing w:line="240" w:lineRule="exact"/>
    </w:pPr>
    <w:rPr>
      <w:rFonts w:ascii="Arial" w:hAnsi="Arial"/>
      <w:bCs/>
      <w:sz w:val="24"/>
    </w:rPr>
  </w:style>
  <w:style w:type="paragraph" w:styleId="Textkrper2">
    <w:name w:val="Body Text 2"/>
    <w:basedOn w:val="Standard"/>
    <w:link w:val="Textkrper2Zchn"/>
    <w:rPr>
      <w:rFonts w:ascii="Arial" w:hAnsi="Arial"/>
      <w:b/>
      <w:bCs/>
      <w:i/>
      <w:iCs/>
      <w:u w:val="single"/>
    </w:rPr>
  </w:style>
  <w:style w:type="paragraph" w:styleId="Textkrper3">
    <w:name w:val="Body Text 3"/>
    <w:basedOn w:val="Standard"/>
    <w:rPr>
      <w:rFonts w:ascii="Arial" w:hAnsi="Arial" w:cs="Arial"/>
      <w:bCs/>
      <w:sz w:val="16"/>
    </w:rPr>
  </w:style>
  <w:style w:type="character" w:styleId="Fett">
    <w:name w:val="Strong"/>
    <w:basedOn w:val="Absatz-Standardschriftart"/>
    <w:uiPriority w:val="22"/>
    <w:qFormat/>
    <w:rPr>
      <w:b/>
      <w:bCs/>
    </w:rPr>
  </w:style>
  <w:style w:type="paragraph" w:styleId="Standardeinzug">
    <w:name w:val="Normal Indent"/>
    <w:basedOn w:val="Standard"/>
    <w:pPr>
      <w:widowControl w:val="0"/>
      <w:tabs>
        <w:tab w:val="left" w:pos="851"/>
        <w:tab w:val="left" w:pos="1276"/>
        <w:tab w:val="left" w:pos="1701"/>
        <w:tab w:val="left" w:pos="2127"/>
        <w:tab w:val="left" w:pos="2552"/>
        <w:tab w:val="left" w:pos="2977"/>
      </w:tabs>
      <w:overflowPunct/>
      <w:autoSpaceDE/>
      <w:autoSpaceDN/>
      <w:adjustRightInd/>
      <w:spacing w:before="120" w:line="360" w:lineRule="atLeast"/>
      <w:ind w:left="426"/>
      <w:jc w:val="both"/>
      <w:textAlignment w:val="auto"/>
    </w:pPr>
    <w:rPr>
      <w:rFonts w:ascii="Times" w:hAnsi="Times"/>
      <w:snapToGrid w:val="0"/>
      <w:sz w:val="26"/>
    </w:rPr>
  </w:style>
  <w:style w:type="paragraph" w:styleId="Sprechblasentext">
    <w:name w:val="Balloon Text"/>
    <w:basedOn w:val="Standard"/>
    <w:semiHidden/>
    <w:rPr>
      <w:rFonts w:ascii="Tahoma" w:hAnsi="Tahoma" w:cs="Tahoma"/>
      <w:sz w:val="16"/>
      <w:szCs w:val="16"/>
    </w:rPr>
  </w:style>
  <w:style w:type="character" w:styleId="Funotenzeichen">
    <w:name w:val="footnote reference"/>
    <w:basedOn w:val="Absatz-Standardschriftart"/>
    <w:semiHidden/>
    <w:rPr>
      <w:vertAlign w:val="superscript"/>
    </w:rPr>
  </w:style>
  <w:style w:type="paragraph" w:styleId="Funotentext">
    <w:name w:val="footnote text"/>
    <w:basedOn w:val="Standard"/>
    <w:link w:val="FunotentextZchn"/>
    <w:pPr>
      <w:overflowPunct/>
      <w:autoSpaceDE/>
      <w:autoSpaceDN/>
      <w:adjustRightInd/>
      <w:textAlignment w:val="auto"/>
    </w:pPr>
  </w:style>
  <w:style w:type="character" w:customStyle="1" w:styleId="FunotentextZchn">
    <w:name w:val="Fußnotentext Zchn"/>
    <w:basedOn w:val="Absatz-Standardschriftart"/>
    <w:link w:val="Funotentext"/>
  </w:style>
  <w:style w:type="character" w:customStyle="1" w:styleId="FuzeileZchn">
    <w:name w:val="Fußzeile Zchn"/>
    <w:basedOn w:val="Absatz-Standardschriftart"/>
    <w:link w:val="Fuzeile"/>
    <w:uiPriority w:val="99"/>
  </w:style>
  <w:style w:type="character" w:customStyle="1" w:styleId="berschrift1Zchn">
    <w:name w:val="Überschrift 1 Zchn"/>
    <w:basedOn w:val="Absatz-Standardschriftart"/>
    <w:link w:val="berschrift1"/>
    <w:uiPriority w:val="9"/>
    <w:rPr>
      <w:rFonts w:ascii="Arial" w:hAnsi="Arial"/>
      <w:b/>
      <w:sz w:val="24"/>
    </w:rPr>
  </w:style>
  <w:style w:type="character" w:customStyle="1" w:styleId="Textkrper2Zchn">
    <w:name w:val="Textkörper 2 Zchn"/>
    <w:basedOn w:val="Absatz-Standardschriftart"/>
    <w:link w:val="Textkrper2"/>
    <w:rPr>
      <w:rFonts w:ascii="Arial" w:hAnsi="Arial"/>
      <w:b/>
      <w:bCs/>
      <w:i/>
      <w:iCs/>
      <w:u w:val="single"/>
    </w:rPr>
  </w:style>
  <w:style w:type="character" w:styleId="Kommentarzeichen">
    <w:name w:val="annotation reference"/>
    <w:basedOn w:val="Absatz-Standardschriftart"/>
    <w:rPr>
      <w:sz w:val="16"/>
      <w:szCs w:val="16"/>
    </w:rPr>
  </w:style>
  <w:style w:type="paragraph" w:styleId="Kommentartext">
    <w:name w:val="annotation text"/>
    <w:basedOn w:val="Standard"/>
    <w:link w:val="KommentartextZchn"/>
    <w:uiPriority w:val="99"/>
  </w:style>
  <w:style w:type="character" w:customStyle="1" w:styleId="KommentartextZchn">
    <w:name w:val="Kommentartext Zchn"/>
    <w:basedOn w:val="Absatz-Standardschriftart"/>
    <w:link w:val="Kommentartext"/>
    <w:uiPriority w:val="99"/>
  </w:style>
  <w:style w:type="paragraph" w:styleId="Kommentarthema">
    <w:name w:val="annotation subject"/>
    <w:basedOn w:val="Kommentartext"/>
    <w:next w:val="Kommentartext"/>
    <w:link w:val="KommentarthemaZchn"/>
    <w:rPr>
      <w:b/>
      <w:bCs/>
    </w:rPr>
  </w:style>
  <w:style w:type="character" w:customStyle="1" w:styleId="KommentarthemaZchn">
    <w:name w:val="Kommentarthema Zchn"/>
    <w:basedOn w:val="KommentartextZchn"/>
    <w:link w:val="Kommentarthema"/>
    <w:rPr>
      <w:b/>
      <w:bCs/>
    </w:rPr>
  </w:style>
  <w:style w:type="paragraph" w:styleId="Listenabsatz">
    <w:name w:val="List Paragraph"/>
    <w:basedOn w:val="Standard"/>
    <w:uiPriority w:val="34"/>
    <w:qFormat/>
    <w:pPr>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lang w:eastAsia="en-US"/>
    </w:rPr>
  </w:style>
  <w:style w:type="character" w:customStyle="1" w:styleId="KopfzeileZchn">
    <w:name w:val="Kopfzeile Zchn"/>
    <w:basedOn w:val="Absatz-Standardschriftart"/>
    <w:link w:val="Kopfzeile"/>
    <w:uiPriority w:val="99"/>
  </w:style>
  <w:style w:type="table" w:styleId="Tabellenraster">
    <w:name w:val="Table Grid"/>
    <w:basedOn w:val="NormaleTabell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Pr>
      <w:color w:val="0000FF"/>
      <w:u w:val="single"/>
    </w:rPr>
  </w:style>
  <w:style w:type="paragraph" w:styleId="StandardWeb">
    <w:name w:val="Normal (Web)"/>
    <w:basedOn w:val="Standard"/>
    <w:uiPriority w:val="99"/>
    <w:semiHidden/>
    <w:unhideWhenUsed/>
    <w:pPr>
      <w:overflowPunct/>
      <w:autoSpaceDE/>
      <w:autoSpaceDN/>
      <w:adjustRightInd/>
      <w:spacing w:after="225" w:line="360" w:lineRule="auto"/>
      <w:textAlignment w:val="auto"/>
    </w:pPr>
    <w:rPr>
      <w:color w:val="737373"/>
      <w:sz w:val="24"/>
      <w:szCs w:val="24"/>
    </w:rPr>
  </w:style>
  <w:style w:type="paragraph" w:styleId="berarbeitung">
    <w:name w:val="Revision"/>
    <w:hidden/>
    <w:uiPriority w:val="99"/>
    <w:semiHidden/>
  </w:style>
  <w:style w:type="paragraph" w:styleId="NurText">
    <w:name w:val="Plain Text"/>
    <w:basedOn w:val="Standard"/>
    <w:link w:val="NurTextZchn"/>
    <w:uiPriority w:val="99"/>
    <w:semiHidden/>
    <w:unhideWhenUsed/>
    <w:pPr>
      <w:overflowPunct/>
      <w:autoSpaceDE/>
      <w:autoSpaceDN/>
      <w:adjustRightInd/>
      <w:textAlignment w:val="auto"/>
    </w:pPr>
    <w:rPr>
      <w:rFonts w:ascii="Calibri" w:eastAsiaTheme="minorHAnsi" w:hAnsi="Calibri" w:cstheme="minorBidi"/>
      <w:sz w:val="22"/>
      <w:szCs w:val="21"/>
      <w:lang w:eastAsia="en-US"/>
    </w:rPr>
  </w:style>
  <w:style w:type="character" w:customStyle="1" w:styleId="NurTextZchn">
    <w:name w:val="Nur Text Zchn"/>
    <w:basedOn w:val="Absatz-Standardschriftart"/>
    <w:link w:val="NurText"/>
    <w:uiPriority w:val="99"/>
    <w:semiHidden/>
    <w:rPr>
      <w:rFonts w:ascii="Calibri" w:eastAsiaTheme="minorHAnsi" w:hAnsi="Calibri" w:cstheme="minorBidi"/>
      <w:sz w:val="22"/>
      <w:szCs w:val="21"/>
      <w:lang w:eastAsia="en-US"/>
    </w:rPr>
  </w:style>
  <w:style w:type="character" w:styleId="BesuchterLink">
    <w:name w:val="FollowedHyperlink"/>
    <w:basedOn w:val="Absatz-Standardschriftart"/>
    <w:semiHidden/>
    <w:unhideWhenUsed/>
    <w:rPr>
      <w:color w:val="800080" w:themeColor="followedHyperlink"/>
      <w:u w:val="single"/>
    </w:rPr>
  </w:style>
  <w:style w:type="paragraph" w:customStyle="1" w:styleId="Textkrper23">
    <w:name w:val="Textkörper 23"/>
    <w:basedOn w:val="Standard"/>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18"/>
        <w:tab w:val="left" w:pos="12238"/>
        <w:tab w:val="left" w:pos="12958"/>
        <w:tab w:val="left" w:pos="13678"/>
        <w:tab w:val="left" w:pos="14398"/>
        <w:tab w:val="left" w:pos="15118"/>
        <w:tab w:val="left" w:pos="15838"/>
        <w:tab w:val="left" w:pos="16558"/>
        <w:tab w:val="left" w:pos="17278"/>
        <w:tab w:val="left" w:pos="17998"/>
        <w:tab w:val="left" w:pos="18718"/>
        <w:tab w:val="left" w:pos="19438"/>
        <w:tab w:val="left" w:pos="20158"/>
        <w:tab w:val="left" w:pos="20878"/>
        <w:tab w:val="left" w:pos="21598"/>
        <w:tab w:val="left" w:pos="22318"/>
        <w:tab w:val="left" w:pos="23038"/>
        <w:tab w:val="left" w:pos="23758"/>
        <w:tab w:val="left" w:pos="24478"/>
        <w:tab w:val="left" w:pos="25198"/>
        <w:tab w:val="left" w:pos="25918"/>
        <w:tab w:val="left" w:pos="26638"/>
        <w:tab w:val="left" w:pos="27358"/>
        <w:tab w:val="left" w:pos="28078"/>
      </w:tabs>
    </w:pPr>
    <w:rPr>
      <w:rFonts w:ascii="Arial" w:hAnsi="Arial"/>
      <w:sz w:val="22"/>
      <w:u w:val="single"/>
    </w:rPr>
  </w:style>
  <w:style w:type="character" w:customStyle="1" w:styleId="indent">
    <w:name w:val="indent"/>
    <w:basedOn w:val="Absatz-Standardschriftar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6082">
      <w:bodyDiv w:val="1"/>
      <w:marLeft w:val="0"/>
      <w:marRight w:val="0"/>
      <w:marTop w:val="0"/>
      <w:marBottom w:val="0"/>
      <w:divBdr>
        <w:top w:val="none" w:sz="0" w:space="0" w:color="auto"/>
        <w:left w:val="none" w:sz="0" w:space="0" w:color="auto"/>
        <w:bottom w:val="none" w:sz="0" w:space="0" w:color="auto"/>
        <w:right w:val="none" w:sz="0" w:space="0" w:color="auto"/>
      </w:divBdr>
    </w:div>
    <w:div w:id="125243060">
      <w:bodyDiv w:val="1"/>
      <w:marLeft w:val="0"/>
      <w:marRight w:val="0"/>
      <w:marTop w:val="0"/>
      <w:marBottom w:val="0"/>
      <w:divBdr>
        <w:top w:val="none" w:sz="0" w:space="0" w:color="auto"/>
        <w:left w:val="none" w:sz="0" w:space="0" w:color="auto"/>
        <w:bottom w:val="none" w:sz="0" w:space="0" w:color="auto"/>
        <w:right w:val="none" w:sz="0" w:space="0" w:color="auto"/>
      </w:divBdr>
    </w:div>
    <w:div w:id="136342460">
      <w:bodyDiv w:val="1"/>
      <w:marLeft w:val="0"/>
      <w:marRight w:val="0"/>
      <w:marTop w:val="0"/>
      <w:marBottom w:val="0"/>
      <w:divBdr>
        <w:top w:val="none" w:sz="0" w:space="0" w:color="auto"/>
        <w:left w:val="none" w:sz="0" w:space="0" w:color="auto"/>
        <w:bottom w:val="none" w:sz="0" w:space="0" w:color="auto"/>
        <w:right w:val="none" w:sz="0" w:space="0" w:color="auto"/>
      </w:divBdr>
    </w:div>
    <w:div w:id="162164121">
      <w:bodyDiv w:val="1"/>
      <w:marLeft w:val="0"/>
      <w:marRight w:val="0"/>
      <w:marTop w:val="0"/>
      <w:marBottom w:val="0"/>
      <w:divBdr>
        <w:top w:val="none" w:sz="0" w:space="0" w:color="auto"/>
        <w:left w:val="none" w:sz="0" w:space="0" w:color="auto"/>
        <w:bottom w:val="none" w:sz="0" w:space="0" w:color="auto"/>
        <w:right w:val="none" w:sz="0" w:space="0" w:color="auto"/>
      </w:divBdr>
    </w:div>
    <w:div w:id="178202634">
      <w:bodyDiv w:val="1"/>
      <w:marLeft w:val="0"/>
      <w:marRight w:val="0"/>
      <w:marTop w:val="0"/>
      <w:marBottom w:val="0"/>
      <w:divBdr>
        <w:top w:val="none" w:sz="0" w:space="0" w:color="auto"/>
        <w:left w:val="none" w:sz="0" w:space="0" w:color="auto"/>
        <w:bottom w:val="none" w:sz="0" w:space="0" w:color="auto"/>
        <w:right w:val="none" w:sz="0" w:space="0" w:color="auto"/>
      </w:divBdr>
    </w:div>
    <w:div w:id="277375723">
      <w:bodyDiv w:val="1"/>
      <w:marLeft w:val="0"/>
      <w:marRight w:val="0"/>
      <w:marTop w:val="0"/>
      <w:marBottom w:val="0"/>
      <w:divBdr>
        <w:top w:val="none" w:sz="0" w:space="0" w:color="auto"/>
        <w:left w:val="none" w:sz="0" w:space="0" w:color="auto"/>
        <w:bottom w:val="none" w:sz="0" w:space="0" w:color="auto"/>
        <w:right w:val="none" w:sz="0" w:space="0" w:color="auto"/>
      </w:divBdr>
    </w:div>
    <w:div w:id="497766167">
      <w:bodyDiv w:val="1"/>
      <w:marLeft w:val="0"/>
      <w:marRight w:val="0"/>
      <w:marTop w:val="0"/>
      <w:marBottom w:val="0"/>
      <w:divBdr>
        <w:top w:val="none" w:sz="0" w:space="0" w:color="auto"/>
        <w:left w:val="none" w:sz="0" w:space="0" w:color="auto"/>
        <w:bottom w:val="none" w:sz="0" w:space="0" w:color="auto"/>
        <w:right w:val="none" w:sz="0" w:space="0" w:color="auto"/>
      </w:divBdr>
    </w:div>
    <w:div w:id="559705638">
      <w:bodyDiv w:val="1"/>
      <w:marLeft w:val="0"/>
      <w:marRight w:val="0"/>
      <w:marTop w:val="0"/>
      <w:marBottom w:val="0"/>
      <w:divBdr>
        <w:top w:val="none" w:sz="0" w:space="0" w:color="auto"/>
        <w:left w:val="none" w:sz="0" w:space="0" w:color="auto"/>
        <w:bottom w:val="none" w:sz="0" w:space="0" w:color="auto"/>
        <w:right w:val="none" w:sz="0" w:space="0" w:color="auto"/>
      </w:divBdr>
    </w:div>
    <w:div w:id="636381044">
      <w:bodyDiv w:val="1"/>
      <w:marLeft w:val="0"/>
      <w:marRight w:val="0"/>
      <w:marTop w:val="0"/>
      <w:marBottom w:val="0"/>
      <w:divBdr>
        <w:top w:val="none" w:sz="0" w:space="0" w:color="auto"/>
        <w:left w:val="none" w:sz="0" w:space="0" w:color="auto"/>
        <w:bottom w:val="none" w:sz="0" w:space="0" w:color="auto"/>
        <w:right w:val="none" w:sz="0" w:space="0" w:color="auto"/>
      </w:divBdr>
    </w:div>
    <w:div w:id="862743669">
      <w:bodyDiv w:val="1"/>
      <w:marLeft w:val="0"/>
      <w:marRight w:val="0"/>
      <w:marTop w:val="0"/>
      <w:marBottom w:val="0"/>
      <w:divBdr>
        <w:top w:val="none" w:sz="0" w:space="0" w:color="auto"/>
        <w:left w:val="none" w:sz="0" w:space="0" w:color="auto"/>
        <w:bottom w:val="none" w:sz="0" w:space="0" w:color="auto"/>
        <w:right w:val="none" w:sz="0" w:space="0" w:color="auto"/>
      </w:divBdr>
    </w:div>
    <w:div w:id="927933203">
      <w:bodyDiv w:val="1"/>
      <w:marLeft w:val="0"/>
      <w:marRight w:val="0"/>
      <w:marTop w:val="0"/>
      <w:marBottom w:val="0"/>
      <w:divBdr>
        <w:top w:val="none" w:sz="0" w:space="0" w:color="auto"/>
        <w:left w:val="none" w:sz="0" w:space="0" w:color="auto"/>
        <w:bottom w:val="none" w:sz="0" w:space="0" w:color="auto"/>
        <w:right w:val="none" w:sz="0" w:space="0" w:color="auto"/>
      </w:divBdr>
    </w:div>
    <w:div w:id="944465581">
      <w:bodyDiv w:val="1"/>
      <w:marLeft w:val="0"/>
      <w:marRight w:val="0"/>
      <w:marTop w:val="0"/>
      <w:marBottom w:val="0"/>
      <w:divBdr>
        <w:top w:val="none" w:sz="0" w:space="0" w:color="auto"/>
        <w:left w:val="none" w:sz="0" w:space="0" w:color="auto"/>
        <w:bottom w:val="none" w:sz="0" w:space="0" w:color="auto"/>
        <w:right w:val="none" w:sz="0" w:space="0" w:color="auto"/>
      </w:divBdr>
    </w:div>
    <w:div w:id="1136794656">
      <w:bodyDiv w:val="1"/>
      <w:marLeft w:val="0"/>
      <w:marRight w:val="0"/>
      <w:marTop w:val="0"/>
      <w:marBottom w:val="0"/>
      <w:divBdr>
        <w:top w:val="none" w:sz="0" w:space="0" w:color="auto"/>
        <w:left w:val="none" w:sz="0" w:space="0" w:color="auto"/>
        <w:bottom w:val="none" w:sz="0" w:space="0" w:color="auto"/>
        <w:right w:val="none" w:sz="0" w:space="0" w:color="auto"/>
      </w:divBdr>
    </w:div>
    <w:div w:id="1308127268">
      <w:bodyDiv w:val="1"/>
      <w:marLeft w:val="0"/>
      <w:marRight w:val="0"/>
      <w:marTop w:val="0"/>
      <w:marBottom w:val="0"/>
      <w:divBdr>
        <w:top w:val="none" w:sz="0" w:space="0" w:color="auto"/>
        <w:left w:val="none" w:sz="0" w:space="0" w:color="auto"/>
        <w:bottom w:val="none" w:sz="0" w:space="0" w:color="auto"/>
        <w:right w:val="none" w:sz="0" w:space="0" w:color="auto"/>
      </w:divBdr>
    </w:div>
    <w:div w:id="1310751287">
      <w:bodyDiv w:val="1"/>
      <w:marLeft w:val="0"/>
      <w:marRight w:val="0"/>
      <w:marTop w:val="0"/>
      <w:marBottom w:val="0"/>
      <w:divBdr>
        <w:top w:val="none" w:sz="0" w:space="0" w:color="auto"/>
        <w:left w:val="none" w:sz="0" w:space="0" w:color="auto"/>
        <w:bottom w:val="none" w:sz="0" w:space="0" w:color="auto"/>
        <w:right w:val="none" w:sz="0" w:space="0" w:color="auto"/>
      </w:divBdr>
    </w:div>
    <w:div w:id="1410037925">
      <w:bodyDiv w:val="1"/>
      <w:marLeft w:val="0"/>
      <w:marRight w:val="0"/>
      <w:marTop w:val="0"/>
      <w:marBottom w:val="0"/>
      <w:divBdr>
        <w:top w:val="none" w:sz="0" w:space="0" w:color="auto"/>
        <w:left w:val="none" w:sz="0" w:space="0" w:color="auto"/>
        <w:bottom w:val="none" w:sz="0" w:space="0" w:color="auto"/>
        <w:right w:val="none" w:sz="0" w:space="0" w:color="auto"/>
      </w:divBdr>
      <w:divsChild>
        <w:div w:id="1962878881">
          <w:marLeft w:val="0"/>
          <w:marRight w:val="0"/>
          <w:marTop w:val="0"/>
          <w:marBottom w:val="0"/>
          <w:divBdr>
            <w:top w:val="none" w:sz="0" w:space="0" w:color="auto"/>
            <w:left w:val="none" w:sz="0" w:space="0" w:color="auto"/>
            <w:bottom w:val="none" w:sz="0" w:space="0" w:color="auto"/>
            <w:right w:val="none" w:sz="0" w:space="0" w:color="auto"/>
          </w:divBdr>
          <w:divsChild>
            <w:div w:id="951473091">
              <w:marLeft w:val="0"/>
              <w:marRight w:val="0"/>
              <w:marTop w:val="0"/>
              <w:marBottom w:val="0"/>
              <w:divBdr>
                <w:top w:val="none" w:sz="0" w:space="0" w:color="auto"/>
                <w:left w:val="none" w:sz="0" w:space="0" w:color="auto"/>
                <w:bottom w:val="none" w:sz="0" w:space="0" w:color="auto"/>
                <w:right w:val="none" w:sz="0" w:space="0" w:color="auto"/>
              </w:divBdr>
              <w:divsChild>
                <w:div w:id="464390616">
                  <w:marLeft w:val="0"/>
                  <w:marRight w:val="0"/>
                  <w:marTop w:val="0"/>
                  <w:marBottom w:val="0"/>
                  <w:divBdr>
                    <w:top w:val="none" w:sz="0" w:space="0" w:color="auto"/>
                    <w:left w:val="none" w:sz="0" w:space="0" w:color="auto"/>
                    <w:bottom w:val="none" w:sz="0" w:space="0" w:color="auto"/>
                    <w:right w:val="none" w:sz="0" w:space="0" w:color="auto"/>
                  </w:divBdr>
                  <w:divsChild>
                    <w:div w:id="340740929">
                      <w:marLeft w:val="0"/>
                      <w:marRight w:val="0"/>
                      <w:marTop w:val="0"/>
                      <w:marBottom w:val="0"/>
                      <w:divBdr>
                        <w:top w:val="none" w:sz="0" w:space="0" w:color="auto"/>
                        <w:left w:val="none" w:sz="0" w:space="0" w:color="auto"/>
                        <w:bottom w:val="none" w:sz="0" w:space="0" w:color="auto"/>
                        <w:right w:val="none" w:sz="0" w:space="0" w:color="auto"/>
                      </w:divBdr>
                      <w:divsChild>
                        <w:div w:id="44331880">
                          <w:marLeft w:val="0"/>
                          <w:marRight w:val="0"/>
                          <w:marTop w:val="0"/>
                          <w:marBottom w:val="0"/>
                          <w:divBdr>
                            <w:top w:val="none" w:sz="0" w:space="0" w:color="auto"/>
                            <w:left w:val="none" w:sz="0" w:space="0" w:color="auto"/>
                            <w:bottom w:val="none" w:sz="0" w:space="0" w:color="auto"/>
                            <w:right w:val="none" w:sz="0" w:space="0" w:color="auto"/>
                          </w:divBdr>
                          <w:divsChild>
                            <w:div w:id="588583470">
                              <w:marLeft w:val="0"/>
                              <w:marRight w:val="0"/>
                              <w:marTop w:val="0"/>
                              <w:marBottom w:val="0"/>
                              <w:divBdr>
                                <w:top w:val="none" w:sz="0" w:space="0" w:color="auto"/>
                                <w:left w:val="none" w:sz="0" w:space="0" w:color="auto"/>
                                <w:bottom w:val="none" w:sz="0" w:space="0" w:color="auto"/>
                                <w:right w:val="none" w:sz="0" w:space="0" w:color="auto"/>
                              </w:divBdr>
                              <w:divsChild>
                                <w:div w:id="480582091">
                                  <w:marLeft w:val="0"/>
                                  <w:marRight w:val="0"/>
                                  <w:marTop w:val="0"/>
                                  <w:marBottom w:val="0"/>
                                  <w:divBdr>
                                    <w:top w:val="none" w:sz="0" w:space="0" w:color="auto"/>
                                    <w:left w:val="none" w:sz="0" w:space="0" w:color="auto"/>
                                    <w:bottom w:val="none" w:sz="0" w:space="0" w:color="auto"/>
                                    <w:right w:val="none" w:sz="0" w:space="0" w:color="auto"/>
                                  </w:divBdr>
                                  <w:divsChild>
                                    <w:div w:id="380137007">
                                      <w:marLeft w:val="0"/>
                                      <w:marRight w:val="0"/>
                                      <w:marTop w:val="0"/>
                                      <w:marBottom w:val="0"/>
                                      <w:divBdr>
                                        <w:top w:val="none" w:sz="0" w:space="0" w:color="auto"/>
                                        <w:left w:val="none" w:sz="0" w:space="0" w:color="auto"/>
                                        <w:bottom w:val="none" w:sz="0" w:space="0" w:color="auto"/>
                                        <w:right w:val="none" w:sz="0" w:space="0" w:color="auto"/>
                                      </w:divBdr>
                                      <w:divsChild>
                                        <w:div w:id="2098671700">
                                          <w:marLeft w:val="-225"/>
                                          <w:marRight w:val="-225"/>
                                          <w:marTop w:val="0"/>
                                          <w:marBottom w:val="0"/>
                                          <w:divBdr>
                                            <w:top w:val="none" w:sz="0" w:space="0" w:color="auto"/>
                                            <w:left w:val="none" w:sz="0" w:space="0" w:color="auto"/>
                                            <w:bottom w:val="none" w:sz="0" w:space="0" w:color="auto"/>
                                            <w:right w:val="none" w:sz="0" w:space="0" w:color="auto"/>
                                          </w:divBdr>
                                          <w:divsChild>
                                            <w:div w:id="1790586299">
                                              <w:marLeft w:val="0"/>
                                              <w:marRight w:val="0"/>
                                              <w:marTop w:val="0"/>
                                              <w:marBottom w:val="0"/>
                                              <w:divBdr>
                                                <w:top w:val="none" w:sz="0" w:space="0" w:color="auto"/>
                                                <w:left w:val="none" w:sz="0" w:space="0" w:color="auto"/>
                                                <w:bottom w:val="none" w:sz="0" w:space="0" w:color="auto"/>
                                                <w:right w:val="none" w:sz="0" w:space="0" w:color="auto"/>
                                              </w:divBdr>
                                              <w:divsChild>
                                                <w:div w:id="1447777038">
                                                  <w:marLeft w:val="0"/>
                                                  <w:marRight w:val="0"/>
                                                  <w:marTop w:val="0"/>
                                                  <w:marBottom w:val="0"/>
                                                  <w:divBdr>
                                                    <w:top w:val="none" w:sz="0" w:space="0" w:color="auto"/>
                                                    <w:left w:val="none" w:sz="0" w:space="0" w:color="auto"/>
                                                    <w:bottom w:val="none" w:sz="0" w:space="0" w:color="auto"/>
                                                    <w:right w:val="none" w:sz="0" w:space="0" w:color="auto"/>
                                                  </w:divBdr>
                                                  <w:divsChild>
                                                    <w:div w:id="696275469">
                                                      <w:marLeft w:val="0"/>
                                                      <w:marRight w:val="0"/>
                                                      <w:marTop w:val="0"/>
                                                      <w:marBottom w:val="0"/>
                                                      <w:divBdr>
                                                        <w:top w:val="none" w:sz="0" w:space="0" w:color="auto"/>
                                                        <w:left w:val="none" w:sz="0" w:space="0" w:color="auto"/>
                                                        <w:bottom w:val="none" w:sz="0" w:space="0" w:color="auto"/>
                                                        <w:right w:val="none" w:sz="0" w:space="0" w:color="auto"/>
                                                      </w:divBdr>
                                                      <w:divsChild>
                                                        <w:div w:id="458492619">
                                                          <w:marLeft w:val="0"/>
                                                          <w:marRight w:val="0"/>
                                                          <w:marTop w:val="0"/>
                                                          <w:marBottom w:val="0"/>
                                                          <w:divBdr>
                                                            <w:top w:val="none" w:sz="0" w:space="0" w:color="auto"/>
                                                            <w:left w:val="none" w:sz="0" w:space="0" w:color="auto"/>
                                                            <w:bottom w:val="none" w:sz="0" w:space="0" w:color="auto"/>
                                                            <w:right w:val="none" w:sz="0" w:space="0" w:color="auto"/>
                                                          </w:divBdr>
                                                          <w:divsChild>
                                                            <w:div w:id="1510833001">
                                                              <w:marLeft w:val="0"/>
                                                              <w:marRight w:val="0"/>
                                                              <w:marTop w:val="0"/>
                                                              <w:marBottom w:val="0"/>
                                                              <w:divBdr>
                                                                <w:top w:val="none" w:sz="0" w:space="0" w:color="auto"/>
                                                                <w:left w:val="none" w:sz="0" w:space="0" w:color="auto"/>
                                                                <w:bottom w:val="none" w:sz="0" w:space="0" w:color="auto"/>
                                                                <w:right w:val="none" w:sz="0" w:space="0" w:color="auto"/>
                                                              </w:divBdr>
                                                              <w:divsChild>
                                                                <w:div w:id="1490556962">
                                                                  <w:marLeft w:val="0"/>
                                                                  <w:marRight w:val="0"/>
                                                                  <w:marTop w:val="0"/>
                                                                  <w:marBottom w:val="0"/>
                                                                  <w:divBdr>
                                                                    <w:top w:val="none" w:sz="0" w:space="0" w:color="auto"/>
                                                                    <w:left w:val="none" w:sz="0" w:space="0" w:color="auto"/>
                                                                    <w:bottom w:val="none" w:sz="0" w:space="0" w:color="auto"/>
                                                                    <w:right w:val="none" w:sz="0" w:space="0" w:color="auto"/>
                                                                  </w:divBdr>
                                                                  <w:divsChild>
                                                                    <w:div w:id="206282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08902009">
      <w:bodyDiv w:val="1"/>
      <w:marLeft w:val="0"/>
      <w:marRight w:val="0"/>
      <w:marTop w:val="0"/>
      <w:marBottom w:val="0"/>
      <w:divBdr>
        <w:top w:val="none" w:sz="0" w:space="0" w:color="auto"/>
        <w:left w:val="none" w:sz="0" w:space="0" w:color="auto"/>
        <w:bottom w:val="none" w:sz="0" w:space="0" w:color="auto"/>
        <w:right w:val="none" w:sz="0" w:space="0" w:color="auto"/>
      </w:divBdr>
    </w:div>
    <w:div w:id="1587113067">
      <w:bodyDiv w:val="1"/>
      <w:marLeft w:val="0"/>
      <w:marRight w:val="0"/>
      <w:marTop w:val="0"/>
      <w:marBottom w:val="0"/>
      <w:divBdr>
        <w:top w:val="none" w:sz="0" w:space="0" w:color="auto"/>
        <w:left w:val="none" w:sz="0" w:space="0" w:color="auto"/>
        <w:bottom w:val="none" w:sz="0" w:space="0" w:color="auto"/>
        <w:right w:val="none" w:sz="0" w:space="0" w:color="auto"/>
      </w:divBdr>
    </w:div>
    <w:div w:id="1652515823">
      <w:bodyDiv w:val="1"/>
      <w:marLeft w:val="0"/>
      <w:marRight w:val="0"/>
      <w:marTop w:val="0"/>
      <w:marBottom w:val="0"/>
      <w:divBdr>
        <w:top w:val="none" w:sz="0" w:space="0" w:color="auto"/>
        <w:left w:val="none" w:sz="0" w:space="0" w:color="auto"/>
        <w:bottom w:val="none" w:sz="0" w:space="0" w:color="auto"/>
        <w:right w:val="none" w:sz="0" w:space="0" w:color="auto"/>
      </w:divBdr>
    </w:div>
    <w:div w:id="1673679903">
      <w:bodyDiv w:val="1"/>
      <w:marLeft w:val="0"/>
      <w:marRight w:val="0"/>
      <w:marTop w:val="0"/>
      <w:marBottom w:val="0"/>
      <w:divBdr>
        <w:top w:val="none" w:sz="0" w:space="0" w:color="auto"/>
        <w:left w:val="none" w:sz="0" w:space="0" w:color="auto"/>
        <w:bottom w:val="none" w:sz="0" w:space="0" w:color="auto"/>
        <w:right w:val="none" w:sz="0" w:space="0" w:color="auto"/>
      </w:divBdr>
    </w:div>
    <w:div w:id="1781990197">
      <w:bodyDiv w:val="1"/>
      <w:marLeft w:val="0"/>
      <w:marRight w:val="0"/>
      <w:marTop w:val="0"/>
      <w:marBottom w:val="0"/>
      <w:divBdr>
        <w:top w:val="none" w:sz="0" w:space="0" w:color="auto"/>
        <w:left w:val="none" w:sz="0" w:space="0" w:color="auto"/>
        <w:bottom w:val="none" w:sz="0" w:space="0" w:color="auto"/>
        <w:right w:val="none" w:sz="0" w:space="0" w:color="auto"/>
      </w:divBdr>
    </w:div>
    <w:div w:id="1948734923">
      <w:bodyDiv w:val="1"/>
      <w:marLeft w:val="0"/>
      <w:marRight w:val="0"/>
      <w:marTop w:val="0"/>
      <w:marBottom w:val="0"/>
      <w:divBdr>
        <w:top w:val="none" w:sz="0" w:space="0" w:color="auto"/>
        <w:left w:val="none" w:sz="0" w:space="0" w:color="auto"/>
        <w:bottom w:val="none" w:sz="0" w:space="0" w:color="auto"/>
        <w:right w:val="none" w:sz="0" w:space="0" w:color="auto"/>
      </w:divBdr>
    </w:div>
    <w:div w:id="2013875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weltkarten.mv-regierung.de" TargetMode="External"/><Relationship Id="rId13" Type="http://schemas.openxmlformats.org/officeDocument/2006/relationships/header" Target="header3.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microsoft.com/office/2018/08/relationships/commentsExtensible" Target="commentsExtensi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DD9160-0AF5-40A0-93EB-EE9E80613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1085</Words>
  <Characters>7096</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Schutzgebietsverordnung Schwerin</vt:lpstr>
    </vt:vector>
  </TitlesOfParts>
  <Company>Umweltministerium M-V</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Schutzgebietsverordnung Schwerin</dc:title>
  <dc:creator>Ministerium für Bau, Landesentw. und Umwelt M-V</dc:creator>
  <cp:lastModifiedBy>VI-430b (Frau Pröhl)</cp:lastModifiedBy>
  <cp:revision>3</cp:revision>
  <cp:lastPrinted>2022-09-01T07:07:00Z</cp:lastPrinted>
  <dcterms:created xsi:type="dcterms:W3CDTF">2025-06-03T07:05:00Z</dcterms:created>
  <dcterms:modified xsi:type="dcterms:W3CDTF">2025-06-03T07:07:00Z</dcterms:modified>
</cp:coreProperties>
</file>