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Layout w:type="fixed"/>
        <w:tblCellMar>
          <w:left w:w="70" w:type="dxa"/>
          <w:right w:w="70" w:type="dxa"/>
        </w:tblCellMar>
        <w:tblLook w:val="0000" w:firstRow="0" w:lastRow="0" w:firstColumn="0" w:lastColumn="0" w:noHBand="0" w:noVBand="0"/>
      </w:tblPr>
      <w:tblGrid>
        <w:gridCol w:w="4750"/>
        <w:gridCol w:w="1841"/>
        <w:gridCol w:w="3118"/>
      </w:tblGrid>
      <w:tr>
        <w:trPr>
          <w:cantSplit/>
          <w:trHeight w:val="1418"/>
        </w:trPr>
        <w:tc>
          <w:tcPr>
            <w:tcW w:w="4750" w:type="dxa"/>
          </w:tcPr>
          <w:p>
            <w:pPr>
              <w:jc w:val="center"/>
              <w:rPr>
                <w:b/>
                <w:bCs/>
                <w:szCs w:val="24"/>
              </w:rPr>
            </w:pPr>
            <w:r>
              <w:rPr>
                <w:b/>
                <w:bCs/>
                <w:szCs w:val="24"/>
              </w:rPr>
              <w:t>Ministerium für</w:t>
            </w:r>
          </w:p>
          <w:p>
            <w:pPr>
              <w:jc w:val="center"/>
              <w:rPr>
                <w:b/>
                <w:bCs/>
                <w:szCs w:val="24"/>
              </w:rPr>
            </w:pPr>
            <w:r>
              <w:rPr>
                <w:b/>
                <w:bCs/>
                <w:szCs w:val="24"/>
              </w:rPr>
              <w:t>Klimaschutz, Landwirtschaft,</w:t>
            </w:r>
          </w:p>
          <w:p>
            <w:pPr>
              <w:jc w:val="center"/>
              <w:rPr>
                <w:b/>
                <w:bCs/>
                <w:szCs w:val="24"/>
              </w:rPr>
            </w:pPr>
            <w:r>
              <w:rPr>
                <w:b/>
                <w:bCs/>
                <w:szCs w:val="24"/>
              </w:rPr>
              <w:t>ländliche Räume und Umwelt</w:t>
            </w:r>
          </w:p>
          <w:p>
            <w:pPr>
              <w:jc w:val="center"/>
              <w:rPr>
                <w:b/>
                <w:sz w:val="28"/>
              </w:rPr>
            </w:pPr>
            <w:r>
              <w:rPr>
                <w:b/>
                <w:bCs/>
                <w:szCs w:val="24"/>
              </w:rPr>
              <w:t>Mecklenburg-Vorpommern</w:t>
            </w:r>
          </w:p>
        </w:tc>
        <w:tc>
          <w:tcPr>
            <w:tcW w:w="1841" w:type="dxa"/>
          </w:tcPr>
          <w:p>
            <w:pPr>
              <w:tabs>
                <w:tab w:val="left" w:pos="1418"/>
              </w:tabs>
            </w:pPr>
          </w:p>
        </w:tc>
        <w:tc>
          <w:tcPr>
            <w:tcW w:w="3118" w:type="dxa"/>
          </w:tcPr>
          <w:p>
            <w:pPr>
              <w:tabs>
                <w:tab w:val="left" w:pos="1418"/>
              </w:tabs>
            </w:pPr>
            <w:r>
              <w:rPr>
                <w:noProof/>
                <w:sz w:val="20"/>
              </w:rPr>
              <w:drawing>
                <wp:inline distT="0" distB="0" distL="0" distR="0">
                  <wp:extent cx="810895" cy="874395"/>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810895" cy="874395"/>
                          </a:xfrm>
                          <a:prstGeom prst="rect">
                            <a:avLst/>
                          </a:prstGeom>
                          <a:noFill/>
                          <a:ln w="9525">
                            <a:noFill/>
                            <a:miter lim="800000"/>
                            <a:headEnd/>
                            <a:tailEnd/>
                          </a:ln>
                        </pic:spPr>
                      </pic:pic>
                    </a:graphicData>
                  </a:graphic>
                </wp:inline>
              </w:drawing>
            </w:r>
          </w:p>
        </w:tc>
      </w:tr>
    </w:tbl>
    <w:p>
      <w:pPr>
        <w:pStyle w:val="MfG"/>
        <w:spacing w:after="23"/>
        <w:rPr>
          <w:sz w:val="24"/>
          <w:szCs w:val="24"/>
        </w:rPr>
      </w:pPr>
    </w:p>
    <w:p>
      <w:pPr>
        <w:pStyle w:val="MfG"/>
        <w:spacing w:after="23"/>
        <w:rPr>
          <w:sz w:val="24"/>
          <w:szCs w:val="24"/>
        </w:rPr>
      </w:pPr>
    </w:p>
    <w:p>
      <w:pPr>
        <w:overflowPunct/>
        <w:autoSpaceDE/>
        <w:autoSpaceDN/>
        <w:adjustRightInd/>
        <w:spacing w:line="276" w:lineRule="auto"/>
        <w:jc w:val="center"/>
        <w:textAlignment w:val="auto"/>
        <w:rPr>
          <w:rFonts w:eastAsiaTheme="minorHAnsi" w:cs="Arial"/>
          <w:b/>
          <w:szCs w:val="24"/>
          <w:lang w:eastAsia="en-US"/>
        </w:rPr>
      </w:pPr>
    </w:p>
    <w:p>
      <w:pPr>
        <w:overflowPunct/>
        <w:autoSpaceDE/>
        <w:autoSpaceDN/>
        <w:adjustRightInd/>
        <w:spacing w:after="120" w:line="276" w:lineRule="auto"/>
        <w:jc w:val="center"/>
        <w:textAlignment w:val="auto"/>
        <w:rPr>
          <w:rFonts w:eastAsiaTheme="minorHAnsi" w:cs="Arial"/>
          <w:b/>
          <w:i/>
          <w:sz w:val="28"/>
          <w:szCs w:val="28"/>
          <w:u w:val="single"/>
          <w:lang w:eastAsia="en-US"/>
        </w:rPr>
      </w:pPr>
      <w:r>
        <w:rPr>
          <w:rFonts w:eastAsiaTheme="minorHAnsi" w:cs="Arial"/>
          <w:b/>
          <w:sz w:val="28"/>
          <w:szCs w:val="28"/>
          <w:lang w:eastAsia="en-US"/>
        </w:rPr>
        <w:t xml:space="preserve">Aufforderung zur Teilnahme am Wettbewerb </w:t>
      </w:r>
    </w:p>
    <w:p>
      <w:pPr>
        <w:overflowPunct/>
        <w:autoSpaceDE/>
        <w:autoSpaceDN/>
        <w:adjustRightInd/>
        <w:spacing w:line="276" w:lineRule="auto"/>
        <w:jc w:val="center"/>
        <w:textAlignment w:val="auto"/>
        <w:rPr>
          <w:b/>
          <w:i/>
          <w:sz w:val="28"/>
          <w:szCs w:val="28"/>
          <w:u w:val="single"/>
        </w:rPr>
      </w:pPr>
      <w:r>
        <w:rPr>
          <w:b/>
          <w:i/>
          <w:sz w:val="28"/>
          <w:szCs w:val="28"/>
          <w:u w:val="single"/>
        </w:rPr>
        <w:t xml:space="preserve">„Aufbau und Umsetzung Netzwerk - Etablierung und Unterstützung der sozialen und solidarischen Landwirtschaft in </w:t>
      </w:r>
    </w:p>
    <w:p>
      <w:pPr>
        <w:overflowPunct/>
        <w:autoSpaceDE/>
        <w:autoSpaceDN/>
        <w:adjustRightInd/>
        <w:spacing w:line="276" w:lineRule="auto"/>
        <w:jc w:val="center"/>
        <w:textAlignment w:val="auto"/>
        <w:rPr>
          <w:b/>
          <w:i/>
          <w:sz w:val="28"/>
          <w:szCs w:val="28"/>
          <w:u w:val="single"/>
        </w:rPr>
      </w:pPr>
      <w:r>
        <w:rPr>
          <w:b/>
          <w:i/>
          <w:sz w:val="28"/>
          <w:szCs w:val="28"/>
          <w:u w:val="single"/>
        </w:rPr>
        <w:t>Mecklenburg-Vorpommern“</w:t>
      </w:r>
    </w:p>
    <w:p>
      <w:pPr>
        <w:rPr>
          <w:rFonts w:cs="Arial"/>
          <w:b/>
          <w:sz w:val="22"/>
          <w:szCs w:val="22"/>
        </w:rPr>
      </w:pPr>
    </w:p>
    <w:p>
      <w:pPr>
        <w:rPr>
          <w:rFonts w:cs="Arial"/>
          <w:b/>
          <w:bCs/>
          <w:sz w:val="22"/>
          <w:szCs w:val="22"/>
        </w:rPr>
      </w:pPr>
      <w:r>
        <w:rPr>
          <w:rFonts w:cs="Arial"/>
          <w:b/>
          <w:sz w:val="22"/>
          <w:szCs w:val="22"/>
        </w:rPr>
        <w:t xml:space="preserve">Gewährung von Zuwendungen im Rahmen des Artikels 77 der Verordnung (EU) </w:t>
      </w:r>
      <w:r>
        <w:rPr>
          <w:rFonts w:cs="Arial"/>
          <w:b/>
          <w:bCs/>
          <w:sz w:val="22"/>
          <w:szCs w:val="22"/>
        </w:rPr>
        <w:t>2021/2115 (Netzwerk Solawi - ELER III-</w:t>
      </w:r>
      <w:proofErr w:type="spellStart"/>
      <w:r>
        <w:rPr>
          <w:rFonts w:cs="Arial"/>
          <w:b/>
          <w:bCs/>
          <w:sz w:val="22"/>
          <w:szCs w:val="22"/>
        </w:rPr>
        <w:t>ZuwErl</w:t>
      </w:r>
      <w:proofErr w:type="spellEnd"/>
      <w:r>
        <w:rPr>
          <w:rFonts w:cs="Arial"/>
          <w:b/>
          <w:bCs/>
          <w:sz w:val="22"/>
          <w:szCs w:val="22"/>
        </w:rPr>
        <w:t>)</w:t>
      </w:r>
    </w:p>
    <w:p>
      <w:pPr>
        <w:overflowPunct/>
        <w:autoSpaceDE/>
        <w:autoSpaceDN/>
        <w:adjustRightInd/>
        <w:spacing w:line="276" w:lineRule="auto"/>
        <w:textAlignment w:val="auto"/>
        <w:rPr>
          <w:rFonts w:cs="Arial"/>
          <w:b/>
          <w:sz w:val="22"/>
          <w:szCs w:val="22"/>
        </w:rPr>
      </w:pPr>
    </w:p>
    <w:p>
      <w:pPr>
        <w:pStyle w:val="MfG"/>
        <w:spacing w:after="23"/>
        <w:jc w:val="center"/>
        <w:rPr>
          <w:rFonts w:cs="Arial"/>
          <w:b/>
        </w:rPr>
      </w:pPr>
    </w:p>
    <w:p>
      <w:pPr>
        <w:overflowPunct/>
        <w:autoSpaceDE/>
        <w:autoSpaceDN/>
        <w:adjustRightInd/>
        <w:spacing w:line="276" w:lineRule="auto"/>
        <w:jc w:val="both"/>
        <w:textAlignment w:val="auto"/>
        <w:rPr>
          <w:rFonts w:eastAsiaTheme="minorHAnsi" w:cs="Arial"/>
          <w:b/>
          <w:sz w:val="22"/>
          <w:szCs w:val="22"/>
          <w:u w:val="single"/>
          <w:lang w:eastAsia="en-US"/>
        </w:rPr>
      </w:pPr>
      <w:r>
        <w:rPr>
          <w:rFonts w:eastAsiaTheme="minorHAnsi" w:cs="Arial"/>
          <w:b/>
          <w:sz w:val="22"/>
          <w:szCs w:val="22"/>
          <w:u w:val="single"/>
          <w:lang w:eastAsia="en-US"/>
        </w:rPr>
        <w:t xml:space="preserve">Themenbereiche: </w:t>
      </w:r>
    </w:p>
    <w:p>
      <w:pPr>
        <w:pStyle w:val="Listenabsatz"/>
        <w:numPr>
          <w:ilvl w:val="0"/>
          <w:numId w:val="7"/>
        </w:numPr>
        <w:jc w:val="both"/>
        <w:rPr>
          <w:b/>
          <w:sz w:val="22"/>
          <w:szCs w:val="22"/>
        </w:rPr>
      </w:pPr>
      <w:r>
        <w:rPr>
          <w:b/>
          <w:sz w:val="22"/>
          <w:szCs w:val="22"/>
        </w:rPr>
        <w:t>Schaffung, Aufbau und nachhaltige Etablierung eines praxisorientierten Netzwerkes für Solawi-Betriebe in Mecklenburg-Vorpommern</w:t>
      </w:r>
    </w:p>
    <w:p>
      <w:pPr>
        <w:pStyle w:val="Listenabsatz"/>
        <w:numPr>
          <w:ilvl w:val="0"/>
          <w:numId w:val="7"/>
        </w:numPr>
        <w:jc w:val="both"/>
        <w:rPr>
          <w:b/>
          <w:sz w:val="22"/>
          <w:szCs w:val="22"/>
        </w:rPr>
      </w:pPr>
      <w:r>
        <w:rPr>
          <w:b/>
          <w:sz w:val="22"/>
          <w:szCs w:val="22"/>
        </w:rPr>
        <w:t xml:space="preserve">Umsetzung einer Unterstützungsstruktur für Solawi-Betriebe aus Zentraler Koordinierungsstelle und Regional Clustern in Mecklenburg-Vorpommern (Organisation der regionalen Vernetzung der Solawi-Betriebe untereinander und damit Förderung der Zusammenarbeit). </w:t>
      </w:r>
    </w:p>
    <w:p>
      <w:pPr>
        <w:pStyle w:val="Listenabsatz"/>
        <w:numPr>
          <w:ilvl w:val="0"/>
          <w:numId w:val="7"/>
        </w:numPr>
        <w:jc w:val="both"/>
        <w:rPr>
          <w:b/>
          <w:sz w:val="22"/>
          <w:szCs w:val="22"/>
        </w:rPr>
      </w:pPr>
      <w:r>
        <w:rPr>
          <w:b/>
          <w:sz w:val="22"/>
          <w:szCs w:val="22"/>
        </w:rPr>
        <w:t>Strukturen der Solawi-Betriebe in Mecklenburg-Vorpommern im gemeinsamen Prozess erarbeiten, dokumentieren und stärken</w:t>
      </w:r>
    </w:p>
    <w:p>
      <w:pPr>
        <w:pStyle w:val="Listenabsatz"/>
        <w:numPr>
          <w:ilvl w:val="0"/>
          <w:numId w:val="7"/>
        </w:numPr>
        <w:jc w:val="both"/>
        <w:rPr>
          <w:b/>
          <w:sz w:val="22"/>
          <w:szCs w:val="22"/>
        </w:rPr>
      </w:pPr>
      <w:r>
        <w:rPr>
          <w:b/>
          <w:sz w:val="22"/>
          <w:szCs w:val="22"/>
        </w:rPr>
        <w:t xml:space="preserve">Beratung und Begleitung der regionalen Solawi-Betriebe (Workshops/Seminare organisieren, Information zu Fördermaßnahmen) </w:t>
      </w:r>
    </w:p>
    <w:p>
      <w:pPr>
        <w:pStyle w:val="Listenabsatz"/>
        <w:numPr>
          <w:ilvl w:val="0"/>
          <w:numId w:val="7"/>
        </w:numPr>
        <w:jc w:val="both"/>
        <w:rPr>
          <w:b/>
          <w:sz w:val="22"/>
          <w:szCs w:val="22"/>
        </w:rPr>
      </w:pPr>
      <w:r>
        <w:rPr>
          <w:b/>
          <w:sz w:val="22"/>
          <w:szCs w:val="22"/>
        </w:rPr>
        <w:t>Praxisbezogene Unterstützung bei Neugründung und Betriebs-Umstellung</w:t>
      </w:r>
    </w:p>
    <w:p>
      <w:pPr>
        <w:pStyle w:val="Listenabsatz"/>
        <w:numPr>
          <w:ilvl w:val="0"/>
          <w:numId w:val="7"/>
        </w:numPr>
        <w:jc w:val="both"/>
        <w:rPr>
          <w:b/>
          <w:sz w:val="22"/>
          <w:szCs w:val="22"/>
        </w:rPr>
      </w:pPr>
      <w:r>
        <w:rPr>
          <w:b/>
          <w:sz w:val="22"/>
          <w:szCs w:val="22"/>
        </w:rPr>
        <w:t>Erarbeitung/Entwicklung eines Beratungstools für den Aufbau, die Gründung und Begleitung von Solawi-Betrieben in Mecklenburg-Vorpommern</w:t>
      </w:r>
    </w:p>
    <w:p>
      <w:pPr>
        <w:pStyle w:val="Listenabsatz"/>
        <w:numPr>
          <w:ilvl w:val="0"/>
          <w:numId w:val="7"/>
        </w:numPr>
        <w:jc w:val="both"/>
        <w:rPr>
          <w:b/>
          <w:sz w:val="22"/>
          <w:szCs w:val="22"/>
        </w:rPr>
      </w:pPr>
      <w:r>
        <w:rPr>
          <w:b/>
          <w:sz w:val="22"/>
          <w:szCs w:val="22"/>
        </w:rPr>
        <w:t>Analyse des Handlungsbedarfs zur zielgerichteten Stärkung der regionalen Solawi-Betriebe in Mecklenburg-Vorpommern</w:t>
      </w:r>
    </w:p>
    <w:p>
      <w:pPr>
        <w:pStyle w:val="Listenabsatz"/>
        <w:numPr>
          <w:ilvl w:val="0"/>
          <w:numId w:val="7"/>
        </w:numPr>
        <w:jc w:val="both"/>
        <w:rPr>
          <w:b/>
          <w:sz w:val="22"/>
          <w:szCs w:val="22"/>
        </w:rPr>
      </w:pPr>
      <w:r>
        <w:rPr>
          <w:b/>
          <w:sz w:val="22"/>
          <w:szCs w:val="22"/>
        </w:rPr>
        <w:t>Umsetzung und Information von/zu Beispielen mit regionaler Wertschöpfung (regionale Verarbeitung und Vermarktung in den Bereichen tierische und pflanzliche Erzeugung, Obst- und Gemüsebau)</w:t>
      </w:r>
    </w:p>
    <w:p>
      <w:pPr>
        <w:pStyle w:val="Listenabsatz"/>
        <w:numPr>
          <w:ilvl w:val="0"/>
          <w:numId w:val="7"/>
        </w:numPr>
        <w:jc w:val="both"/>
        <w:rPr>
          <w:b/>
          <w:sz w:val="22"/>
          <w:szCs w:val="22"/>
        </w:rPr>
      </w:pPr>
      <w:r>
        <w:rPr>
          <w:b/>
          <w:sz w:val="22"/>
          <w:szCs w:val="22"/>
        </w:rPr>
        <w:t xml:space="preserve">Antragstellung, Begleitung und/oder Austausch von/mit Forschungsprojekten auf Bundes- und EU-Ebene im/zum Themenbereich Solawi </w:t>
      </w:r>
    </w:p>
    <w:p>
      <w:pPr>
        <w:pStyle w:val="Listenabsatz"/>
        <w:numPr>
          <w:ilvl w:val="0"/>
          <w:numId w:val="7"/>
        </w:numPr>
        <w:jc w:val="both"/>
        <w:rPr>
          <w:b/>
          <w:sz w:val="22"/>
          <w:szCs w:val="22"/>
        </w:rPr>
      </w:pPr>
      <w:r>
        <w:rPr>
          <w:b/>
          <w:sz w:val="22"/>
          <w:szCs w:val="22"/>
        </w:rPr>
        <w:t>Öffentlichkeitsarbeit – Information zum Konzept Solawi für Verbraucherinnen und Verbraucher (Erarbeitung Informationsbroschüre zu Solawi-Betrieben in Mecklenburg-Vorpommern)</w:t>
      </w:r>
    </w:p>
    <w:p>
      <w:pPr>
        <w:pStyle w:val="Listenabsatz"/>
        <w:numPr>
          <w:ilvl w:val="0"/>
          <w:numId w:val="7"/>
        </w:numPr>
        <w:jc w:val="both"/>
        <w:rPr>
          <w:b/>
          <w:sz w:val="22"/>
          <w:szCs w:val="22"/>
        </w:rPr>
      </w:pPr>
      <w:r>
        <w:rPr>
          <w:b/>
          <w:sz w:val="22"/>
          <w:szCs w:val="22"/>
        </w:rPr>
        <w:t xml:space="preserve">Umsetzung eines nachhaltigen und wirtschaftlichen Netzwerkaufbaus  </w:t>
      </w:r>
    </w:p>
    <w:p>
      <w:pPr>
        <w:pStyle w:val="Listenabsatz"/>
        <w:jc w:val="both"/>
        <w:rPr>
          <w:b/>
          <w:sz w:val="22"/>
          <w:szCs w:val="22"/>
        </w:rPr>
      </w:pPr>
    </w:p>
    <w:p>
      <w:pPr>
        <w:pStyle w:val="Listenabsatz"/>
        <w:jc w:val="both"/>
        <w:rPr>
          <w:b/>
          <w:sz w:val="22"/>
          <w:szCs w:val="22"/>
        </w:rPr>
      </w:pPr>
    </w:p>
    <w:p>
      <w:pPr>
        <w:pStyle w:val="MfG"/>
        <w:spacing w:after="23"/>
        <w:jc w:val="center"/>
        <w:rPr>
          <w:rFonts w:cs="Arial"/>
          <w:b/>
        </w:rPr>
      </w:pPr>
    </w:p>
    <w:p>
      <w:pPr>
        <w:pStyle w:val="MfG"/>
        <w:spacing w:after="120" w:line="240" w:lineRule="auto"/>
        <w:jc w:val="both"/>
        <w:rPr>
          <w:rFonts w:cs="Arial"/>
        </w:rPr>
      </w:pPr>
      <w:r>
        <w:rPr>
          <w:rFonts w:cs="Arial"/>
        </w:rPr>
        <w:t>Das Land gewährt Zuwendungen für die Schaffung, den Aufbau und die Integration eines praxisorientierten Netzwerkes zur Etablierung und Unterstützung der sozialen und solidarischen Landwirtschaft (Solawi) in Mecklenburg-Vorpommern. Mit diesem Netzwerk soll die nachhaltige Entwicklung im ländlichen Raum sowie der landwirtschaftlichen Strukturen gestärkt werden.</w:t>
      </w:r>
    </w:p>
    <w:p>
      <w:pPr>
        <w:pStyle w:val="MfG"/>
        <w:spacing w:after="120" w:line="240" w:lineRule="auto"/>
        <w:jc w:val="both"/>
        <w:rPr>
          <w:rFonts w:cs="Arial"/>
        </w:rPr>
      </w:pPr>
      <w:r>
        <w:rPr>
          <w:rFonts w:cs="Arial"/>
        </w:rPr>
        <w:t>Das neu geschaffene Netzwerk hat dabei das Ziel, die regionale Vernetzung der Solawi-Betriebe untereinander zu organisieren, die Zusammenarbeit zu fördern und den Solawi-Betrieben beratend beim Aufbau der spezifischen Vermarktungsstrukturen sowie zur Gestaltung der Gemeinschaft zur Seite zu stehen.</w:t>
      </w:r>
    </w:p>
    <w:p>
      <w:pPr>
        <w:pStyle w:val="MfG"/>
        <w:spacing w:after="120" w:line="240" w:lineRule="auto"/>
        <w:jc w:val="both"/>
        <w:rPr>
          <w:rFonts w:cs="Arial"/>
        </w:rPr>
      </w:pPr>
      <w:r>
        <w:rPr>
          <w:rFonts w:cs="Arial"/>
        </w:rPr>
        <w:t>Dabei zielt die Zusammenarbeit auf die Schaffung sowie weitere Entwicklung von Versorgungsketten ab und soll einen Beitrag leisten, die Verbraucherinnen und Verbraucher über das Konzept der Solidarischen Landwirtschaft und dessen Mehrwert, die Erzeugung, Verarbeitung und Vermarktung landwirtschaftlicher Erzeugnisse, zu informieren.  Durch breite Öffentlichkeitsarbeit, durch Wissenstransfer (Informationsaustausch, Informationsmaßnahmen im Agrarsektor) ist es beabsichtigt, die regionale Zusammenarbeit sowie die kooperativen Strukturen der Solawi zu stärken.</w:t>
      </w:r>
    </w:p>
    <w:p>
      <w:pPr>
        <w:pStyle w:val="MfG"/>
        <w:spacing w:after="120" w:line="240" w:lineRule="auto"/>
        <w:jc w:val="both"/>
        <w:rPr>
          <w:rFonts w:cs="Arial"/>
        </w:rPr>
      </w:pPr>
      <w:r>
        <w:rPr>
          <w:rFonts w:cs="Arial"/>
        </w:rPr>
        <w:t>Die solidarische Landwirtschaft ist eine besondere Vermarktungsform und basiert auf gemeinsamem Wirtschaften, Organisieren und Finanzieren durch Landwirte und Verbraucher und bringt beiden Seiten somit Nutzen, welcher auf die Bedürfnisse der Menschen abgestimmt ist. So werden die jährlichen Betriebskosten einer Solawi von den Mitgliedern der Solawi vorfinanziert, die pflanzlichen und tierischen Erzeugnisse müssen nicht mehr zu schwankenden Preisen auf dem freien Markt verkauft werden. Somit hat der Betrieb finanzielle Planungssicherheit und weiß bereits zu Beginn der Saison, dass alle Produkte Abnehmerinnen oder Abnehmer finden. Alle Lebensmittel werden – überwiegend in Form eines wöchentlichen Ernteanteils – auf die Mitglieder aufgeteilt. Durch die enge Beziehung zwischen Erzeugern und Verbrauchern steigt die Wertschätzung und es wird das Bewusstsein für die landwirtschaftliche Arbeit und die landwirtschaftlichen Produkte gestärkt.</w:t>
      </w:r>
    </w:p>
    <w:p>
      <w:pPr>
        <w:rPr>
          <w:rFonts w:eastAsia="Calibri" w:cs="Arial"/>
          <w:sz w:val="22"/>
          <w:szCs w:val="22"/>
          <w:lang w:eastAsia="en-US"/>
        </w:rPr>
      </w:pPr>
      <w:r>
        <w:rPr>
          <w:rFonts w:eastAsia="Calibri" w:cs="Arial"/>
          <w:sz w:val="22"/>
          <w:szCs w:val="22"/>
          <w:lang w:eastAsia="en-US"/>
        </w:rPr>
        <w:t xml:space="preserve">Die Projektlaufzeit der Kooperation „Netzwerk – Etablierung und Unterstützung der sozialen und solidarischen Landwirtschaft in Mecklenburg-Vorpommern“ ist für den Zeitraum            </w:t>
      </w:r>
      <w:r>
        <w:rPr>
          <w:rFonts w:eastAsia="Calibri" w:cs="Arial"/>
          <w:b/>
          <w:sz w:val="22"/>
          <w:szCs w:val="22"/>
          <w:lang w:eastAsia="en-US"/>
        </w:rPr>
        <w:t>01. Januar 2026 bis zum 30. Juni 2029</w:t>
      </w:r>
      <w:r>
        <w:rPr>
          <w:rFonts w:eastAsia="Calibri" w:cs="Arial"/>
          <w:sz w:val="22"/>
          <w:szCs w:val="22"/>
          <w:lang w:eastAsia="en-US"/>
        </w:rPr>
        <w:t xml:space="preserve"> geplant.</w:t>
      </w:r>
    </w:p>
    <w:p>
      <w:pPr>
        <w:pStyle w:val="MfG"/>
        <w:spacing w:after="0" w:line="240" w:lineRule="auto"/>
        <w:jc w:val="both"/>
        <w:rPr>
          <w:rFonts w:cs="Arial"/>
        </w:rPr>
      </w:pPr>
      <w:r>
        <w:rPr>
          <w:rFonts w:cs="Arial"/>
        </w:rPr>
        <w:t xml:space="preserve">Das Ministerium für Klimaschutz, Landwirtschaft, ländliche Räume und Umwelt Mecklenburg-Vorpommern will mit dieser Ausschreibung </w:t>
      </w:r>
      <w:r>
        <w:rPr>
          <w:rFonts w:cs="Arial"/>
          <w:u w:val="single"/>
        </w:rPr>
        <w:t xml:space="preserve">eine Zusammenarbeit/Kooperation </w:t>
      </w:r>
      <w:r>
        <w:rPr>
          <w:rFonts w:cs="Arial"/>
        </w:rPr>
        <w:t xml:space="preserve">im Bereich der solidarischen Landwirtschaft im </w:t>
      </w:r>
      <w:r>
        <w:rPr>
          <w:rFonts w:cs="Arial"/>
          <w:b/>
        </w:rPr>
        <w:t>Umfang von bis zu 200.000 Euro</w:t>
      </w:r>
      <w:r>
        <w:rPr>
          <w:rFonts w:cs="Arial"/>
        </w:rPr>
        <w:t xml:space="preserve"> fördern.</w:t>
      </w:r>
    </w:p>
    <w:p>
      <w:pPr>
        <w:pStyle w:val="MfG"/>
        <w:spacing w:after="0" w:line="240" w:lineRule="auto"/>
        <w:jc w:val="both"/>
        <w:rPr>
          <w:rFonts w:cs="Arial"/>
        </w:rPr>
      </w:pPr>
    </w:p>
    <w:p>
      <w:pPr>
        <w:pStyle w:val="MfG"/>
        <w:spacing w:after="0" w:line="240" w:lineRule="auto"/>
        <w:jc w:val="both"/>
        <w:rPr>
          <w:rFonts w:cs="Arial"/>
        </w:rPr>
      </w:pPr>
    </w:p>
    <w:p>
      <w:pPr>
        <w:overflowPunct/>
        <w:autoSpaceDE/>
        <w:autoSpaceDN/>
        <w:adjustRightInd/>
        <w:jc w:val="both"/>
        <w:textAlignment w:val="auto"/>
        <w:rPr>
          <w:rFonts w:eastAsiaTheme="minorHAnsi" w:cs="Arial"/>
          <w:b/>
          <w:bCs/>
          <w:color w:val="000000" w:themeColor="text1"/>
          <w:sz w:val="22"/>
          <w:szCs w:val="22"/>
          <w:lang w:eastAsia="en-US"/>
        </w:rPr>
      </w:pPr>
    </w:p>
    <w:p>
      <w:pPr>
        <w:numPr>
          <w:ilvl w:val="0"/>
          <w:numId w:val="28"/>
        </w:numPr>
        <w:overflowPunct/>
        <w:autoSpaceDE/>
        <w:autoSpaceDN/>
        <w:adjustRightInd/>
        <w:spacing w:before="120"/>
        <w:ind w:left="709" w:hanging="709"/>
        <w:contextualSpacing/>
        <w:textAlignment w:val="auto"/>
        <w:rPr>
          <w:rFonts w:cs="Arial"/>
          <w:b/>
          <w:sz w:val="22"/>
          <w:szCs w:val="22"/>
        </w:rPr>
      </w:pPr>
      <w:r>
        <w:rPr>
          <w:rFonts w:cs="Arial"/>
          <w:b/>
          <w:sz w:val="22"/>
          <w:szCs w:val="22"/>
        </w:rPr>
        <w:t>Gegenstand der Zuwendung</w:t>
      </w:r>
    </w:p>
    <w:p>
      <w:pPr>
        <w:overflowPunct/>
        <w:autoSpaceDE/>
        <w:autoSpaceDN/>
        <w:adjustRightInd/>
        <w:spacing w:before="120" w:after="120"/>
        <w:ind w:left="703" w:hanging="703"/>
        <w:jc w:val="both"/>
        <w:textAlignment w:val="auto"/>
        <w:rPr>
          <w:rFonts w:cs="Arial"/>
          <w:sz w:val="22"/>
          <w:szCs w:val="22"/>
        </w:rPr>
      </w:pPr>
      <w:r>
        <w:rPr>
          <w:rFonts w:cs="Arial"/>
          <w:sz w:val="22"/>
          <w:szCs w:val="22"/>
        </w:rPr>
        <w:t>1.1</w:t>
      </w:r>
      <w:r>
        <w:rPr>
          <w:rFonts w:cs="Arial"/>
          <w:sz w:val="22"/>
          <w:szCs w:val="22"/>
        </w:rPr>
        <w:tab/>
        <w:t xml:space="preserve">Zuwendungsfähig ist die Zusammenarbeit von Interessengruppen insbesondere von Landwirten, Beratern, Forschungseinrichtungen, Verbänden, Behörden und Akteuren im ländlichen Raum. </w:t>
      </w:r>
    </w:p>
    <w:p>
      <w:pPr>
        <w:overflowPunct/>
        <w:autoSpaceDE/>
        <w:autoSpaceDN/>
        <w:adjustRightInd/>
        <w:spacing w:before="120" w:after="120"/>
        <w:ind w:left="703" w:hanging="703"/>
        <w:jc w:val="both"/>
        <w:textAlignment w:val="auto"/>
        <w:rPr>
          <w:rFonts w:cs="Arial"/>
          <w:sz w:val="22"/>
          <w:szCs w:val="22"/>
        </w:rPr>
      </w:pPr>
      <w:r>
        <w:rPr>
          <w:rFonts w:cs="Arial"/>
          <w:sz w:val="22"/>
          <w:szCs w:val="22"/>
        </w:rPr>
        <w:t>1.2</w:t>
      </w:r>
      <w:r>
        <w:rPr>
          <w:rFonts w:cs="Arial"/>
          <w:sz w:val="22"/>
          <w:szCs w:val="22"/>
        </w:rPr>
        <w:tab/>
      </w:r>
      <w:r>
        <w:rPr>
          <w:rFonts w:cs="Arial"/>
          <w:sz w:val="22"/>
          <w:szCs w:val="22"/>
        </w:rPr>
        <w:tab/>
        <w:t xml:space="preserve">Unterstützt werden insbesondere die Umsetzung von Konzepten für die </w:t>
      </w:r>
      <w:proofErr w:type="gramStart"/>
      <w:r>
        <w:rPr>
          <w:rFonts w:cs="Arial"/>
          <w:sz w:val="22"/>
          <w:szCs w:val="22"/>
        </w:rPr>
        <w:t>Zusammen-arbeit</w:t>
      </w:r>
      <w:proofErr w:type="gramEnd"/>
      <w:r>
        <w:rPr>
          <w:rFonts w:cs="Arial"/>
          <w:sz w:val="22"/>
          <w:szCs w:val="22"/>
        </w:rPr>
        <w:t>, Durchführbarkeitsstudien/Erhebungen und Plänen sowie der Aufbau und die Weiterentwicklung der Zusammenarbeit.</w:t>
      </w:r>
    </w:p>
    <w:p>
      <w:pPr>
        <w:overflowPunct/>
        <w:autoSpaceDE/>
        <w:autoSpaceDN/>
        <w:adjustRightInd/>
        <w:spacing w:after="120"/>
        <w:ind w:left="709"/>
        <w:jc w:val="both"/>
        <w:textAlignment w:val="auto"/>
        <w:rPr>
          <w:rFonts w:cs="Arial"/>
          <w:sz w:val="22"/>
          <w:szCs w:val="22"/>
        </w:rPr>
      </w:pPr>
    </w:p>
    <w:p>
      <w:pPr>
        <w:pStyle w:val="Listenabsatz"/>
        <w:numPr>
          <w:ilvl w:val="0"/>
          <w:numId w:val="28"/>
        </w:numPr>
        <w:spacing w:after="60"/>
        <w:jc w:val="both"/>
        <w:rPr>
          <w:b/>
          <w:sz w:val="22"/>
          <w:szCs w:val="22"/>
        </w:rPr>
      </w:pPr>
      <w:r>
        <w:rPr>
          <w:b/>
          <w:sz w:val="22"/>
          <w:szCs w:val="22"/>
        </w:rPr>
        <w:t>Themenbereiche</w:t>
      </w:r>
    </w:p>
    <w:p>
      <w:pPr>
        <w:overflowPunct/>
        <w:autoSpaceDE/>
        <w:autoSpaceDN/>
        <w:adjustRightInd/>
        <w:spacing w:after="120"/>
        <w:jc w:val="both"/>
        <w:textAlignment w:val="auto"/>
        <w:rPr>
          <w:rFonts w:cs="Arial"/>
          <w:sz w:val="22"/>
          <w:szCs w:val="22"/>
        </w:rPr>
      </w:pPr>
      <w:r>
        <w:rPr>
          <w:rFonts w:cs="Arial"/>
          <w:sz w:val="22"/>
          <w:szCs w:val="22"/>
        </w:rPr>
        <w:t xml:space="preserve">Dem Netzwerk obliegt die Umsetzung der eingangs genannten Themenbereiche. Im Rahmen der Teilnahme am Wettbewerb ist die vorgesehene Umsetzung dieser darzustellen. </w:t>
      </w:r>
    </w:p>
    <w:p>
      <w:pPr>
        <w:overflowPunct/>
        <w:autoSpaceDE/>
        <w:autoSpaceDN/>
        <w:adjustRightInd/>
        <w:spacing w:after="120"/>
        <w:jc w:val="both"/>
        <w:textAlignment w:val="auto"/>
        <w:rPr>
          <w:rFonts w:cs="Arial"/>
          <w:sz w:val="22"/>
          <w:szCs w:val="22"/>
        </w:rPr>
      </w:pPr>
    </w:p>
    <w:p>
      <w:pPr>
        <w:overflowPunct/>
        <w:autoSpaceDE/>
        <w:autoSpaceDN/>
        <w:adjustRightInd/>
        <w:spacing w:after="120"/>
        <w:jc w:val="both"/>
        <w:textAlignment w:val="auto"/>
        <w:rPr>
          <w:rFonts w:cs="Arial"/>
          <w:sz w:val="22"/>
          <w:szCs w:val="22"/>
        </w:rPr>
      </w:pPr>
    </w:p>
    <w:p>
      <w:pPr>
        <w:overflowPunct/>
        <w:autoSpaceDE/>
        <w:autoSpaceDN/>
        <w:adjustRightInd/>
        <w:spacing w:after="120"/>
        <w:jc w:val="both"/>
        <w:textAlignment w:val="auto"/>
        <w:rPr>
          <w:rFonts w:cs="Arial"/>
          <w:sz w:val="22"/>
          <w:szCs w:val="22"/>
        </w:rPr>
      </w:pPr>
    </w:p>
    <w:p>
      <w:pPr>
        <w:numPr>
          <w:ilvl w:val="0"/>
          <w:numId w:val="28"/>
        </w:numPr>
        <w:overflowPunct/>
        <w:autoSpaceDE/>
        <w:autoSpaceDN/>
        <w:adjustRightInd/>
        <w:spacing w:before="120"/>
        <w:ind w:left="709" w:hanging="709"/>
        <w:contextualSpacing/>
        <w:jc w:val="both"/>
        <w:textAlignment w:val="auto"/>
        <w:rPr>
          <w:rFonts w:cs="Arial"/>
          <w:b/>
          <w:sz w:val="22"/>
          <w:szCs w:val="22"/>
        </w:rPr>
      </w:pPr>
      <w:r>
        <w:rPr>
          <w:rFonts w:cs="Arial"/>
          <w:b/>
          <w:sz w:val="22"/>
          <w:szCs w:val="22"/>
        </w:rPr>
        <w:lastRenderedPageBreak/>
        <w:t xml:space="preserve">Zuwendungsempfänger </w:t>
      </w:r>
    </w:p>
    <w:p>
      <w:pPr>
        <w:numPr>
          <w:ilvl w:val="1"/>
          <w:numId w:val="28"/>
        </w:numPr>
        <w:overflowPunct/>
        <w:spacing w:before="120" w:after="120"/>
        <w:ind w:left="709" w:hanging="709"/>
        <w:jc w:val="both"/>
        <w:textAlignment w:val="auto"/>
        <w:rPr>
          <w:rFonts w:cs="Arial"/>
          <w:sz w:val="22"/>
          <w:szCs w:val="22"/>
        </w:rPr>
      </w:pPr>
      <w:r>
        <w:rPr>
          <w:rFonts w:cs="Arial"/>
          <w:sz w:val="22"/>
          <w:szCs w:val="22"/>
        </w:rPr>
        <w:t>Als Zuwendungsempfänger kommt eine Kooperation mit folgenden Partnern in Betracht:</w:t>
      </w:r>
    </w:p>
    <w:p>
      <w:pPr>
        <w:numPr>
          <w:ilvl w:val="0"/>
          <w:numId w:val="22"/>
        </w:numPr>
        <w:overflowPunct/>
        <w:spacing w:after="120"/>
        <w:ind w:left="1242" w:hanging="357"/>
        <w:contextualSpacing/>
        <w:jc w:val="both"/>
        <w:textAlignment w:val="auto"/>
        <w:rPr>
          <w:rFonts w:cs="Arial"/>
          <w:sz w:val="22"/>
          <w:szCs w:val="22"/>
        </w:rPr>
      </w:pPr>
      <w:r>
        <w:rPr>
          <w:rFonts w:cs="Arial"/>
          <w:sz w:val="22"/>
          <w:szCs w:val="22"/>
        </w:rPr>
        <w:t>juristische Personen des privaten und öffentlichen Rechts und deren Zusammenschlüsse, ausgenommen Gebietskörperschaften,</w:t>
      </w:r>
    </w:p>
    <w:p>
      <w:pPr>
        <w:numPr>
          <w:ilvl w:val="0"/>
          <w:numId w:val="22"/>
        </w:numPr>
        <w:overflowPunct/>
        <w:spacing w:after="120"/>
        <w:ind w:left="1242" w:hanging="357"/>
        <w:contextualSpacing/>
        <w:jc w:val="both"/>
        <w:textAlignment w:val="auto"/>
        <w:rPr>
          <w:rFonts w:cs="Arial"/>
          <w:sz w:val="22"/>
          <w:szCs w:val="22"/>
        </w:rPr>
      </w:pPr>
      <w:r>
        <w:rPr>
          <w:rFonts w:cs="Arial"/>
          <w:sz w:val="22"/>
          <w:szCs w:val="22"/>
        </w:rPr>
        <w:t>natürliche Personen,</w:t>
      </w:r>
    </w:p>
    <w:p>
      <w:pPr>
        <w:numPr>
          <w:ilvl w:val="0"/>
          <w:numId w:val="22"/>
        </w:numPr>
        <w:overflowPunct/>
        <w:spacing w:after="120"/>
        <w:ind w:left="1242" w:hanging="357"/>
        <w:jc w:val="both"/>
        <w:textAlignment w:val="auto"/>
        <w:rPr>
          <w:rFonts w:cs="Arial"/>
          <w:sz w:val="22"/>
          <w:szCs w:val="22"/>
        </w:rPr>
      </w:pPr>
      <w:r>
        <w:rPr>
          <w:rFonts w:cs="Arial"/>
          <w:sz w:val="22"/>
          <w:szCs w:val="22"/>
        </w:rPr>
        <w:t xml:space="preserve">Personengesellschaften. </w:t>
      </w:r>
    </w:p>
    <w:p>
      <w:pPr>
        <w:numPr>
          <w:ilvl w:val="1"/>
          <w:numId w:val="28"/>
        </w:numPr>
        <w:spacing w:after="120"/>
        <w:ind w:left="709" w:hanging="709"/>
        <w:jc w:val="both"/>
        <w:rPr>
          <w:rFonts w:cs="Arial"/>
          <w:sz w:val="22"/>
          <w:szCs w:val="22"/>
        </w:rPr>
      </w:pPr>
      <w:r>
        <w:rPr>
          <w:rFonts w:cs="Arial"/>
          <w:sz w:val="22"/>
          <w:szCs w:val="22"/>
        </w:rPr>
        <w:t>Von einer Zuwendung ausgeschlossen sind Unternehmen</w:t>
      </w:r>
    </w:p>
    <w:p>
      <w:pPr>
        <w:numPr>
          <w:ilvl w:val="0"/>
          <w:numId w:val="23"/>
        </w:numPr>
        <w:spacing w:after="120"/>
        <w:ind w:left="1134" w:hanging="425"/>
        <w:contextualSpacing/>
        <w:jc w:val="both"/>
        <w:rPr>
          <w:rFonts w:cs="Arial"/>
          <w:sz w:val="22"/>
          <w:szCs w:val="22"/>
        </w:rPr>
      </w:pPr>
      <w:r>
        <w:rPr>
          <w:rFonts w:cs="Arial"/>
          <w:sz w:val="22"/>
          <w:szCs w:val="22"/>
        </w:rPr>
        <w:t>die nicht die Voraussetzungen eines Kleinstunternehmens sowie eines kleinen Unternehmens gemäß Anhang I der Verordnung (EU) 2022/2472 erfüllen,</w:t>
      </w:r>
    </w:p>
    <w:p>
      <w:pPr>
        <w:numPr>
          <w:ilvl w:val="0"/>
          <w:numId w:val="23"/>
        </w:numPr>
        <w:spacing w:after="120"/>
        <w:ind w:left="1134" w:hanging="425"/>
        <w:contextualSpacing/>
        <w:jc w:val="both"/>
        <w:rPr>
          <w:rFonts w:cs="Arial"/>
          <w:sz w:val="22"/>
          <w:szCs w:val="22"/>
        </w:rPr>
      </w:pPr>
      <w:r>
        <w:rPr>
          <w:rFonts w:cs="Arial"/>
          <w:sz w:val="22"/>
          <w:szCs w:val="22"/>
        </w:rPr>
        <w:t>in Schwierigkeiten im Sinne Randnummer 33 Ziffer 63 Rahmenregelung der staatlichen Beihilfen im Agrar- und Forstsektor und in ländlichen Gebieten sind (</w:t>
      </w:r>
      <w:proofErr w:type="spellStart"/>
      <w:r>
        <w:rPr>
          <w:rFonts w:cs="Arial"/>
          <w:sz w:val="22"/>
          <w:szCs w:val="22"/>
        </w:rPr>
        <w:t>ABl.</w:t>
      </w:r>
      <w:proofErr w:type="spellEnd"/>
      <w:r>
        <w:rPr>
          <w:rFonts w:cs="Arial"/>
          <w:sz w:val="22"/>
          <w:szCs w:val="22"/>
        </w:rPr>
        <w:t xml:space="preserve"> C 485 vom 21.12.2022, S. 1) (Agrarrahmen),</w:t>
      </w:r>
    </w:p>
    <w:p>
      <w:pPr>
        <w:numPr>
          <w:ilvl w:val="0"/>
          <w:numId w:val="23"/>
        </w:numPr>
        <w:spacing w:after="120"/>
        <w:ind w:left="1134" w:hanging="425"/>
        <w:contextualSpacing/>
        <w:jc w:val="both"/>
        <w:rPr>
          <w:rFonts w:cs="Arial"/>
          <w:sz w:val="22"/>
          <w:szCs w:val="22"/>
        </w:rPr>
      </w:pPr>
      <w:r>
        <w:rPr>
          <w:rFonts w:cs="Arial"/>
          <w:sz w:val="22"/>
          <w:szCs w:val="22"/>
        </w:rPr>
        <w:t>die einer Rückforderung auf Grund einer Rückforderungsanordnung auf Grund eines früheren Beschlusses der Kommission zur Feststellung der Rechtswidrigkeit und Unvereinbarkeit einer Beihilfe mit dem Binnenmarkt nicht Folge geleistet haben.</w:t>
      </w:r>
    </w:p>
    <w:p>
      <w:pPr>
        <w:spacing w:after="120"/>
        <w:ind w:left="1134"/>
        <w:contextualSpacing/>
        <w:jc w:val="both"/>
        <w:rPr>
          <w:rFonts w:cs="Arial"/>
          <w:sz w:val="22"/>
          <w:szCs w:val="22"/>
        </w:rPr>
      </w:pPr>
    </w:p>
    <w:p>
      <w:pPr>
        <w:spacing w:after="120"/>
        <w:ind w:left="1134"/>
        <w:contextualSpacing/>
        <w:jc w:val="both"/>
        <w:rPr>
          <w:rFonts w:cs="Arial"/>
          <w:sz w:val="22"/>
          <w:szCs w:val="22"/>
        </w:rPr>
      </w:pPr>
    </w:p>
    <w:p>
      <w:pPr>
        <w:numPr>
          <w:ilvl w:val="0"/>
          <w:numId w:val="28"/>
        </w:numPr>
        <w:overflowPunct/>
        <w:autoSpaceDE/>
        <w:autoSpaceDN/>
        <w:adjustRightInd/>
        <w:spacing w:before="120" w:line="240" w:lineRule="atLeast"/>
        <w:ind w:left="709" w:hanging="709"/>
        <w:contextualSpacing/>
        <w:jc w:val="both"/>
        <w:textAlignment w:val="auto"/>
        <w:rPr>
          <w:rFonts w:cs="Arial"/>
          <w:b/>
          <w:sz w:val="22"/>
          <w:szCs w:val="22"/>
        </w:rPr>
      </w:pPr>
      <w:r>
        <w:rPr>
          <w:rFonts w:cs="Arial"/>
          <w:b/>
          <w:sz w:val="22"/>
          <w:szCs w:val="22"/>
        </w:rPr>
        <w:t>Zuwendungsvoraussetzungen/Anforderungen/Bedingungen</w:t>
      </w:r>
    </w:p>
    <w:p>
      <w:pPr>
        <w:numPr>
          <w:ilvl w:val="1"/>
          <w:numId w:val="28"/>
        </w:numPr>
        <w:spacing w:before="120" w:after="120"/>
        <w:jc w:val="both"/>
        <w:rPr>
          <w:rFonts w:cs="Arial"/>
          <w:sz w:val="22"/>
          <w:szCs w:val="22"/>
        </w:rPr>
      </w:pPr>
      <w:r>
        <w:rPr>
          <w:rFonts w:cs="Arial"/>
          <w:sz w:val="22"/>
          <w:szCs w:val="22"/>
        </w:rPr>
        <w:t xml:space="preserve">Die Kooperation besteht aus mindestens vier bereits bestehenden Solawi-Zusammenschlüssen mit Sitz in Mecklenburg-Vorpommern. Gegebenenfalls vorliegende weitere Partner müssen aus nachfolgenden Bereichen stammen: </w:t>
      </w:r>
    </w:p>
    <w:p>
      <w:pPr>
        <w:numPr>
          <w:ilvl w:val="0"/>
          <w:numId w:val="16"/>
        </w:numPr>
        <w:overflowPunct/>
        <w:autoSpaceDE/>
        <w:autoSpaceDN/>
        <w:adjustRightInd/>
        <w:spacing w:line="240" w:lineRule="atLeast"/>
        <w:ind w:left="1134" w:hanging="425"/>
        <w:jc w:val="both"/>
        <w:textAlignment w:val="auto"/>
        <w:rPr>
          <w:rFonts w:cs="Arial"/>
          <w:sz w:val="22"/>
          <w:szCs w:val="22"/>
        </w:rPr>
      </w:pPr>
      <w:r>
        <w:rPr>
          <w:rFonts w:cs="Arial"/>
          <w:sz w:val="22"/>
          <w:szCs w:val="22"/>
        </w:rPr>
        <w:t>landwirtschaftliche Unternehmen,</w:t>
      </w:r>
    </w:p>
    <w:p>
      <w:pPr>
        <w:numPr>
          <w:ilvl w:val="0"/>
          <w:numId w:val="16"/>
        </w:numPr>
        <w:overflowPunct/>
        <w:autoSpaceDE/>
        <w:autoSpaceDN/>
        <w:adjustRightInd/>
        <w:spacing w:line="240" w:lineRule="atLeast"/>
        <w:ind w:left="1134" w:hanging="425"/>
        <w:jc w:val="both"/>
        <w:textAlignment w:val="auto"/>
        <w:rPr>
          <w:rFonts w:cs="Arial"/>
          <w:sz w:val="22"/>
          <w:szCs w:val="22"/>
        </w:rPr>
      </w:pPr>
      <w:r>
        <w:rPr>
          <w:rFonts w:cs="Arial"/>
          <w:sz w:val="22"/>
          <w:szCs w:val="22"/>
        </w:rPr>
        <w:t>Unternehmen der Ernährungswirtschaft,</w:t>
      </w:r>
    </w:p>
    <w:p>
      <w:pPr>
        <w:numPr>
          <w:ilvl w:val="0"/>
          <w:numId w:val="16"/>
        </w:numPr>
        <w:overflowPunct/>
        <w:autoSpaceDE/>
        <w:autoSpaceDN/>
        <w:adjustRightInd/>
        <w:spacing w:line="240" w:lineRule="atLeast"/>
        <w:ind w:left="1134" w:hanging="425"/>
        <w:jc w:val="both"/>
        <w:textAlignment w:val="auto"/>
        <w:rPr>
          <w:rFonts w:cs="Arial"/>
          <w:sz w:val="22"/>
          <w:szCs w:val="22"/>
        </w:rPr>
      </w:pPr>
      <w:r>
        <w:rPr>
          <w:rFonts w:cs="Arial"/>
          <w:sz w:val="22"/>
          <w:szCs w:val="22"/>
        </w:rPr>
        <w:t>sonstige Unternehmen des vor- oder nachgelagerten Bereichs der Landwirtschaft einschließlich der Regionalvermarktung,</w:t>
      </w:r>
    </w:p>
    <w:p>
      <w:pPr>
        <w:numPr>
          <w:ilvl w:val="0"/>
          <w:numId w:val="16"/>
        </w:numPr>
        <w:overflowPunct/>
        <w:autoSpaceDE/>
        <w:autoSpaceDN/>
        <w:adjustRightInd/>
        <w:spacing w:line="240" w:lineRule="atLeast"/>
        <w:ind w:left="1134" w:hanging="425"/>
        <w:jc w:val="both"/>
        <w:textAlignment w:val="auto"/>
        <w:rPr>
          <w:rFonts w:cs="Arial"/>
          <w:sz w:val="22"/>
          <w:szCs w:val="22"/>
        </w:rPr>
      </w:pPr>
      <w:r>
        <w:rPr>
          <w:rFonts w:cs="Arial"/>
          <w:sz w:val="22"/>
          <w:szCs w:val="22"/>
        </w:rPr>
        <w:t>Naturschutz,</w:t>
      </w:r>
    </w:p>
    <w:p>
      <w:pPr>
        <w:numPr>
          <w:ilvl w:val="0"/>
          <w:numId w:val="16"/>
        </w:numPr>
        <w:overflowPunct/>
        <w:autoSpaceDE/>
        <w:autoSpaceDN/>
        <w:adjustRightInd/>
        <w:spacing w:line="240" w:lineRule="atLeast"/>
        <w:ind w:left="1134" w:hanging="425"/>
        <w:jc w:val="both"/>
        <w:textAlignment w:val="auto"/>
        <w:rPr>
          <w:rFonts w:cs="Arial"/>
          <w:sz w:val="22"/>
          <w:szCs w:val="22"/>
        </w:rPr>
      </w:pPr>
      <w:r>
        <w:rPr>
          <w:rFonts w:cs="Arial"/>
          <w:sz w:val="22"/>
          <w:szCs w:val="22"/>
        </w:rPr>
        <w:t>Forschungseinrichtungen,</w:t>
      </w:r>
    </w:p>
    <w:p>
      <w:pPr>
        <w:numPr>
          <w:ilvl w:val="0"/>
          <w:numId w:val="16"/>
        </w:numPr>
        <w:overflowPunct/>
        <w:autoSpaceDE/>
        <w:autoSpaceDN/>
        <w:adjustRightInd/>
        <w:spacing w:line="240" w:lineRule="atLeast"/>
        <w:ind w:left="1134" w:hanging="425"/>
        <w:jc w:val="both"/>
        <w:textAlignment w:val="auto"/>
        <w:rPr>
          <w:rFonts w:cs="Arial"/>
          <w:sz w:val="22"/>
          <w:szCs w:val="22"/>
        </w:rPr>
      </w:pPr>
      <w:r>
        <w:rPr>
          <w:rFonts w:cs="Arial"/>
          <w:sz w:val="22"/>
          <w:szCs w:val="22"/>
        </w:rPr>
        <w:t>Beratungs- und Dienstleistungseinrichtungen für die landwirtschaftliche Branche,</w:t>
      </w:r>
    </w:p>
    <w:p>
      <w:pPr>
        <w:numPr>
          <w:ilvl w:val="0"/>
          <w:numId w:val="16"/>
        </w:numPr>
        <w:overflowPunct/>
        <w:autoSpaceDE/>
        <w:autoSpaceDN/>
        <w:adjustRightInd/>
        <w:spacing w:after="120"/>
        <w:ind w:left="1134" w:hanging="425"/>
        <w:jc w:val="both"/>
        <w:textAlignment w:val="auto"/>
        <w:rPr>
          <w:rFonts w:cs="Arial"/>
          <w:sz w:val="22"/>
          <w:szCs w:val="22"/>
        </w:rPr>
      </w:pPr>
      <w:r>
        <w:rPr>
          <w:rFonts w:cs="Arial"/>
          <w:sz w:val="22"/>
          <w:szCs w:val="22"/>
        </w:rPr>
        <w:t>Verbände und Organisationen der Land-, oder Ernährungswirtschaft; Umweltverbände- und Vereine.</w:t>
      </w:r>
    </w:p>
    <w:p>
      <w:pPr>
        <w:numPr>
          <w:ilvl w:val="1"/>
          <w:numId w:val="28"/>
        </w:numPr>
        <w:spacing w:after="120"/>
        <w:ind w:left="709" w:hanging="709"/>
        <w:jc w:val="both"/>
        <w:rPr>
          <w:rFonts w:cs="Arial"/>
          <w:sz w:val="22"/>
          <w:szCs w:val="22"/>
        </w:rPr>
      </w:pPr>
      <w:r>
        <w:rPr>
          <w:rFonts w:cs="Arial"/>
          <w:sz w:val="22"/>
          <w:szCs w:val="22"/>
        </w:rPr>
        <w:t>Mindestens 70 Prozent der Kooperationspartner haben ihren Sitz in Mecklenburg-Vorpommern.</w:t>
      </w:r>
    </w:p>
    <w:p>
      <w:pPr>
        <w:numPr>
          <w:ilvl w:val="1"/>
          <w:numId w:val="28"/>
        </w:numPr>
        <w:overflowPunct/>
        <w:autoSpaceDE/>
        <w:autoSpaceDN/>
        <w:adjustRightInd/>
        <w:spacing w:after="120"/>
        <w:ind w:left="709" w:hanging="709"/>
        <w:contextualSpacing/>
        <w:jc w:val="both"/>
        <w:textAlignment w:val="auto"/>
        <w:rPr>
          <w:rFonts w:cs="Arial"/>
          <w:sz w:val="22"/>
          <w:szCs w:val="22"/>
        </w:rPr>
      </w:pPr>
      <w:r>
        <w:rPr>
          <w:rFonts w:cs="Arial"/>
          <w:sz w:val="22"/>
          <w:szCs w:val="22"/>
        </w:rPr>
        <w:t xml:space="preserve">Eine Unterstützung kommt nur für </w:t>
      </w:r>
    </w:p>
    <w:p>
      <w:pPr>
        <w:numPr>
          <w:ilvl w:val="0"/>
          <w:numId w:val="29"/>
        </w:numPr>
        <w:overflowPunct/>
        <w:autoSpaceDE/>
        <w:autoSpaceDN/>
        <w:adjustRightInd/>
        <w:spacing w:line="240" w:lineRule="atLeast"/>
        <w:ind w:left="1134" w:hanging="425"/>
        <w:jc w:val="both"/>
        <w:textAlignment w:val="auto"/>
        <w:rPr>
          <w:rFonts w:cs="Arial"/>
          <w:sz w:val="22"/>
          <w:szCs w:val="22"/>
        </w:rPr>
      </w:pPr>
      <w:r>
        <w:rPr>
          <w:rFonts w:cs="Arial"/>
          <w:sz w:val="22"/>
          <w:szCs w:val="22"/>
        </w:rPr>
        <w:t xml:space="preserve">neu geschaffene Kooperationen oder </w:t>
      </w:r>
    </w:p>
    <w:p>
      <w:pPr>
        <w:numPr>
          <w:ilvl w:val="0"/>
          <w:numId w:val="29"/>
        </w:numPr>
        <w:overflowPunct/>
        <w:autoSpaceDE/>
        <w:autoSpaceDN/>
        <w:adjustRightInd/>
        <w:spacing w:line="240" w:lineRule="atLeast"/>
        <w:ind w:left="1134" w:hanging="425"/>
        <w:jc w:val="both"/>
        <w:textAlignment w:val="auto"/>
        <w:rPr>
          <w:rFonts w:cs="Arial"/>
          <w:sz w:val="22"/>
          <w:szCs w:val="22"/>
        </w:rPr>
      </w:pPr>
      <w:r>
        <w:rPr>
          <w:rFonts w:cs="Arial"/>
          <w:sz w:val="22"/>
          <w:szCs w:val="22"/>
        </w:rPr>
        <w:t>bestehende Kooperationen, sofern eine neue Tätigkeit aufgenommen wird,</w:t>
      </w:r>
    </w:p>
    <w:p>
      <w:pPr>
        <w:overflowPunct/>
        <w:autoSpaceDE/>
        <w:autoSpaceDN/>
        <w:adjustRightInd/>
        <w:spacing w:after="120"/>
        <w:ind w:left="709"/>
        <w:contextualSpacing/>
        <w:jc w:val="both"/>
        <w:textAlignment w:val="auto"/>
        <w:rPr>
          <w:rFonts w:cs="Arial"/>
          <w:sz w:val="22"/>
          <w:szCs w:val="22"/>
        </w:rPr>
      </w:pPr>
      <w:r>
        <w:rPr>
          <w:rFonts w:cs="Arial"/>
          <w:sz w:val="22"/>
          <w:szCs w:val="22"/>
        </w:rPr>
        <w:t>in Betracht.</w:t>
      </w:r>
    </w:p>
    <w:p>
      <w:pPr>
        <w:overflowPunct/>
        <w:autoSpaceDE/>
        <w:autoSpaceDN/>
        <w:adjustRightInd/>
        <w:spacing w:after="120"/>
        <w:ind w:left="709"/>
        <w:contextualSpacing/>
        <w:jc w:val="both"/>
        <w:textAlignment w:val="auto"/>
        <w:rPr>
          <w:rFonts w:cs="Arial"/>
          <w:sz w:val="22"/>
          <w:szCs w:val="22"/>
        </w:rPr>
      </w:pPr>
    </w:p>
    <w:p>
      <w:pPr>
        <w:overflowPunct/>
        <w:autoSpaceDE/>
        <w:autoSpaceDN/>
        <w:adjustRightInd/>
        <w:spacing w:after="120"/>
        <w:ind w:left="709"/>
        <w:contextualSpacing/>
        <w:jc w:val="both"/>
        <w:textAlignment w:val="auto"/>
        <w:rPr>
          <w:rFonts w:cs="Arial"/>
          <w:sz w:val="22"/>
          <w:szCs w:val="22"/>
        </w:rPr>
      </w:pPr>
      <w:r>
        <w:rPr>
          <w:rFonts w:cs="Arial"/>
          <w:sz w:val="22"/>
          <w:szCs w:val="22"/>
        </w:rPr>
        <w:t>Als zuwendungsfähig gilt eine horizontale und vertikale Zusammenarbeit von verschiedenen Akteuren.</w:t>
      </w:r>
    </w:p>
    <w:p>
      <w:pPr>
        <w:overflowPunct/>
        <w:autoSpaceDE/>
        <w:autoSpaceDN/>
        <w:adjustRightInd/>
        <w:spacing w:after="120"/>
        <w:ind w:left="709"/>
        <w:contextualSpacing/>
        <w:jc w:val="both"/>
        <w:textAlignment w:val="auto"/>
        <w:rPr>
          <w:rFonts w:cs="Arial"/>
          <w:sz w:val="22"/>
          <w:szCs w:val="22"/>
        </w:rPr>
      </w:pPr>
    </w:p>
    <w:p>
      <w:pPr>
        <w:numPr>
          <w:ilvl w:val="1"/>
          <w:numId w:val="28"/>
        </w:numPr>
        <w:spacing w:after="120"/>
        <w:ind w:left="709" w:hanging="709"/>
        <w:jc w:val="both"/>
        <w:rPr>
          <w:rFonts w:cs="Arial"/>
          <w:sz w:val="22"/>
          <w:szCs w:val="22"/>
        </w:rPr>
      </w:pPr>
      <w:r>
        <w:rPr>
          <w:rFonts w:cs="Arial"/>
          <w:sz w:val="22"/>
          <w:szCs w:val="22"/>
        </w:rPr>
        <w:t>Die Zusammenarbeit der Kooperation ist mindestens durch eine schriftliche Vereinbarung zu dokumentieren, die die Ziele der Zusammenarbeit beschreibt sowie die Rechte und Pflichten der beteiligten Partner regelt.</w:t>
      </w:r>
    </w:p>
    <w:p>
      <w:pPr>
        <w:numPr>
          <w:ilvl w:val="1"/>
          <w:numId w:val="28"/>
        </w:numPr>
        <w:spacing w:after="120"/>
        <w:ind w:left="709" w:hanging="709"/>
        <w:jc w:val="both"/>
        <w:rPr>
          <w:rFonts w:cs="Arial"/>
          <w:sz w:val="22"/>
          <w:szCs w:val="22"/>
        </w:rPr>
      </w:pPr>
      <w:r>
        <w:rPr>
          <w:rFonts w:cs="Arial"/>
          <w:sz w:val="22"/>
          <w:szCs w:val="22"/>
        </w:rPr>
        <w:t>Bereits bestehende Projekte ohne zusätzlichen Mehrwert können nicht gefördert werden</w:t>
      </w:r>
    </w:p>
    <w:p>
      <w:pPr>
        <w:numPr>
          <w:ilvl w:val="1"/>
          <w:numId w:val="28"/>
        </w:numPr>
        <w:spacing w:after="120"/>
        <w:ind w:left="709" w:hanging="709"/>
        <w:jc w:val="both"/>
        <w:rPr>
          <w:rFonts w:cs="Arial"/>
          <w:sz w:val="22"/>
          <w:szCs w:val="22"/>
        </w:rPr>
      </w:pPr>
      <w:r>
        <w:rPr>
          <w:rFonts w:cs="Arial"/>
          <w:sz w:val="22"/>
          <w:szCs w:val="22"/>
        </w:rPr>
        <w:t>Die Voraussetzungen für den Erhalt der Zuwendungen dürfen nicht künstlich geschaffen sein.</w:t>
      </w:r>
    </w:p>
    <w:p>
      <w:pPr>
        <w:numPr>
          <w:ilvl w:val="1"/>
          <w:numId w:val="28"/>
        </w:numPr>
        <w:spacing w:after="120"/>
        <w:ind w:left="709" w:hanging="709"/>
        <w:jc w:val="both"/>
        <w:rPr>
          <w:rFonts w:cs="Arial"/>
          <w:sz w:val="22"/>
          <w:szCs w:val="22"/>
        </w:rPr>
      </w:pPr>
      <w:r>
        <w:rPr>
          <w:rFonts w:cs="Arial"/>
          <w:sz w:val="22"/>
          <w:szCs w:val="22"/>
        </w:rPr>
        <w:t>Es dürfen keine falschen Nachweise vorgelegt, falsche Angaben gemacht oder Informationen zurückgehalten werden, die einer Zuwendung entgegenstehen.</w:t>
      </w:r>
    </w:p>
    <w:p>
      <w:pPr>
        <w:spacing w:after="120"/>
        <w:ind w:left="709"/>
        <w:jc w:val="both"/>
        <w:rPr>
          <w:rFonts w:cs="Arial"/>
          <w:sz w:val="22"/>
          <w:szCs w:val="22"/>
        </w:rPr>
      </w:pPr>
    </w:p>
    <w:p>
      <w:pPr>
        <w:numPr>
          <w:ilvl w:val="0"/>
          <w:numId w:val="28"/>
        </w:numPr>
        <w:spacing w:before="120"/>
        <w:ind w:left="709" w:hanging="709"/>
        <w:contextualSpacing/>
        <w:jc w:val="both"/>
        <w:rPr>
          <w:rFonts w:cs="Arial"/>
          <w:sz w:val="22"/>
          <w:szCs w:val="22"/>
        </w:rPr>
      </w:pPr>
      <w:r>
        <w:rPr>
          <w:rFonts w:cs="Arial"/>
          <w:b/>
          <w:sz w:val="22"/>
          <w:szCs w:val="22"/>
        </w:rPr>
        <w:t>Zuwendungsart, Finanzierungsart, Höhe der Zuwendung</w:t>
      </w:r>
    </w:p>
    <w:p>
      <w:pPr>
        <w:pStyle w:val="Listenabsatz"/>
        <w:numPr>
          <w:ilvl w:val="1"/>
          <w:numId w:val="28"/>
        </w:numPr>
        <w:spacing w:before="120"/>
        <w:ind w:left="709" w:hanging="709"/>
        <w:jc w:val="both"/>
        <w:rPr>
          <w:sz w:val="22"/>
          <w:szCs w:val="22"/>
        </w:rPr>
      </w:pPr>
      <w:r>
        <w:rPr>
          <w:sz w:val="22"/>
          <w:szCs w:val="22"/>
        </w:rPr>
        <w:t xml:space="preserve">Die Zuwendung wird im Rahmen einer Projektförderung als Vollfinanzierung in Form eines nicht rückzahlbaren Zuschusses gewährt. </w:t>
      </w:r>
      <w:r>
        <w:rPr>
          <w:rFonts w:eastAsia="Times New Roman"/>
          <w:sz w:val="22"/>
          <w:szCs w:val="22"/>
          <w:lang w:eastAsia="de-DE"/>
        </w:rPr>
        <w:t xml:space="preserve">Dies entspricht 100 % der zuwendungsfähigen Ausgaben. </w:t>
      </w:r>
    </w:p>
    <w:p>
      <w:pPr>
        <w:spacing w:after="120"/>
        <w:ind w:left="709"/>
        <w:jc w:val="both"/>
        <w:rPr>
          <w:rFonts w:cs="Arial"/>
          <w:sz w:val="22"/>
          <w:szCs w:val="22"/>
        </w:rPr>
      </w:pPr>
      <w:r>
        <w:rPr>
          <w:rFonts w:cs="Arial"/>
          <w:sz w:val="22"/>
          <w:szCs w:val="22"/>
        </w:rPr>
        <w:t xml:space="preserve">Die Zuwendung beträgt höchstens </w:t>
      </w:r>
      <w:r>
        <w:rPr>
          <w:rFonts w:cs="Arial"/>
          <w:b/>
          <w:sz w:val="22"/>
          <w:szCs w:val="22"/>
        </w:rPr>
        <w:t>200.000 Euro</w:t>
      </w:r>
      <w:r>
        <w:rPr>
          <w:rFonts w:cs="Arial"/>
          <w:sz w:val="22"/>
          <w:szCs w:val="22"/>
        </w:rPr>
        <w:t>.</w:t>
      </w:r>
    </w:p>
    <w:p>
      <w:pPr>
        <w:numPr>
          <w:ilvl w:val="1"/>
          <w:numId w:val="28"/>
        </w:numPr>
        <w:ind w:left="709" w:hanging="709"/>
        <w:jc w:val="both"/>
        <w:rPr>
          <w:rFonts w:cs="Arial"/>
          <w:sz w:val="22"/>
          <w:szCs w:val="22"/>
        </w:rPr>
      </w:pPr>
      <w:r>
        <w:rPr>
          <w:rFonts w:cs="Arial"/>
          <w:sz w:val="22"/>
          <w:szCs w:val="22"/>
        </w:rPr>
        <w:t>Zuwendungsfähige Ausgaben sind</w:t>
      </w:r>
    </w:p>
    <w:p>
      <w:pPr>
        <w:numPr>
          <w:ilvl w:val="0"/>
          <w:numId w:val="26"/>
        </w:numPr>
        <w:spacing w:after="120"/>
        <w:ind w:left="1134" w:hanging="425"/>
        <w:contextualSpacing/>
        <w:jc w:val="both"/>
        <w:rPr>
          <w:rFonts w:cs="Arial"/>
          <w:sz w:val="22"/>
          <w:szCs w:val="22"/>
        </w:rPr>
      </w:pPr>
      <w:r>
        <w:rPr>
          <w:rFonts w:cs="Arial"/>
          <w:sz w:val="22"/>
          <w:szCs w:val="22"/>
        </w:rPr>
        <w:t>Personalausgaben bis zur Höhe der zum Zeitpunkt der Antragstellung gültigen Stundensätze der TBI Technologie-Beratungs-Institut GmbH für die in der Kooperation Beschäftigten,</w:t>
      </w:r>
    </w:p>
    <w:p>
      <w:pPr>
        <w:numPr>
          <w:ilvl w:val="0"/>
          <w:numId w:val="26"/>
        </w:numPr>
        <w:spacing w:after="120"/>
        <w:ind w:left="1134" w:hanging="425"/>
        <w:contextualSpacing/>
        <w:jc w:val="both"/>
        <w:rPr>
          <w:rFonts w:cs="Arial"/>
          <w:sz w:val="22"/>
          <w:szCs w:val="22"/>
        </w:rPr>
      </w:pPr>
      <w:r>
        <w:rPr>
          <w:rFonts w:cs="Arial"/>
          <w:sz w:val="22"/>
          <w:szCs w:val="22"/>
        </w:rPr>
        <w:t>Sachausgaben (allgemeine Geschäftskosten wie z. B. Büromiete, Büroausstattung, Büromaterial, Post, Telefon, Reisekosten) in Form einer Verwaltungspauschale in Höhe von 15 Prozent der zuwendungsfähigen Personalausgaben,</w:t>
      </w:r>
    </w:p>
    <w:p>
      <w:pPr>
        <w:numPr>
          <w:ilvl w:val="0"/>
          <w:numId w:val="26"/>
        </w:numPr>
        <w:spacing w:after="120"/>
        <w:ind w:left="1134" w:hanging="425"/>
        <w:jc w:val="both"/>
        <w:rPr>
          <w:rFonts w:cs="Arial"/>
          <w:sz w:val="22"/>
          <w:szCs w:val="22"/>
        </w:rPr>
      </w:pPr>
      <w:r>
        <w:rPr>
          <w:rFonts w:cs="Arial"/>
          <w:sz w:val="22"/>
          <w:szCs w:val="22"/>
        </w:rPr>
        <w:t>Ausgaben für Öffentlichkeitsarbeit einschließlich sich aus der Arbeit der Kooperation als sachlich notwendig ergebende Veranstaltungsausgaben (keine Schulungsausgaben für im Projekt Beschäftigte).</w:t>
      </w:r>
    </w:p>
    <w:p>
      <w:pPr>
        <w:numPr>
          <w:ilvl w:val="1"/>
          <w:numId w:val="28"/>
        </w:numPr>
        <w:ind w:left="709" w:hanging="709"/>
        <w:jc w:val="both"/>
        <w:rPr>
          <w:rFonts w:cs="Arial"/>
          <w:sz w:val="22"/>
          <w:szCs w:val="22"/>
        </w:rPr>
      </w:pPr>
      <w:r>
        <w:rPr>
          <w:rFonts w:cs="Arial"/>
          <w:sz w:val="22"/>
          <w:szCs w:val="22"/>
        </w:rPr>
        <w:t>Nicht zuwendungsfähige Ausgaben sind</w:t>
      </w:r>
    </w:p>
    <w:p>
      <w:pPr>
        <w:numPr>
          <w:ilvl w:val="0"/>
          <w:numId w:val="27"/>
        </w:numPr>
        <w:spacing w:after="120"/>
        <w:ind w:left="1134" w:hanging="425"/>
        <w:contextualSpacing/>
        <w:jc w:val="both"/>
        <w:rPr>
          <w:rFonts w:cs="Arial"/>
          <w:sz w:val="22"/>
          <w:szCs w:val="22"/>
        </w:rPr>
      </w:pPr>
      <w:r>
        <w:rPr>
          <w:rFonts w:cs="Arial"/>
          <w:sz w:val="22"/>
          <w:szCs w:val="22"/>
        </w:rPr>
        <w:t>Anschaffungs- und Herstellungskosten für Grundstücke und Gebäude,</w:t>
      </w:r>
    </w:p>
    <w:p>
      <w:pPr>
        <w:numPr>
          <w:ilvl w:val="0"/>
          <w:numId w:val="27"/>
        </w:numPr>
        <w:spacing w:after="120"/>
        <w:ind w:left="1134" w:hanging="425"/>
        <w:contextualSpacing/>
        <w:jc w:val="both"/>
        <w:rPr>
          <w:rFonts w:cs="Arial"/>
          <w:sz w:val="22"/>
          <w:szCs w:val="22"/>
        </w:rPr>
      </w:pPr>
      <w:r>
        <w:rPr>
          <w:rFonts w:cs="Arial"/>
          <w:sz w:val="22"/>
          <w:szCs w:val="22"/>
        </w:rPr>
        <w:t>Kosten der Anmeldung von Patenten,</w:t>
      </w:r>
    </w:p>
    <w:p>
      <w:pPr>
        <w:numPr>
          <w:ilvl w:val="0"/>
          <w:numId w:val="27"/>
        </w:numPr>
        <w:spacing w:after="120"/>
        <w:ind w:left="1134" w:hanging="425"/>
        <w:contextualSpacing/>
        <w:jc w:val="both"/>
        <w:rPr>
          <w:rFonts w:cs="Arial"/>
          <w:sz w:val="22"/>
          <w:szCs w:val="22"/>
        </w:rPr>
      </w:pPr>
      <w:r>
        <w:rPr>
          <w:rFonts w:cs="Arial"/>
          <w:sz w:val="22"/>
          <w:szCs w:val="22"/>
        </w:rPr>
        <w:t>Ausgaben für Kauf und Leasing von Kraftfahrzeugen,</w:t>
      </w:r>
    </w:p>
    <w:p>
      <w:pPr>
        <w:numPr>
          <w:ilvl w:val="0"/>
          <w:numId w:val="27"/>
        </w:numPr>
        <w:spacing w:after="120"/>
        <w:ind w:left="1134" w:hanging="425"/>
        <w:contextualSpacing/>
        <w:jc w:val="both"/>
        <w:rPr>
          <w:rFonts w:cs="Arial"/>
          <w:sz w:val="22"/>
          <w:szCs w:val="22"/>
        </w:rPr>
      </w:pPr>
      <w:r>
        <w:rPr>
          <w:rFonts w:cs="Arial"/>
          <w:sz w:val="22"/>
          <w:szCs w:val="22"/>
        </w:rPr>
        <w:t>Investitionsausgaben, wie Kauf von Maschinen, Instrumenten, Ausrüstungsgegenständen einschließlich der dafür erforderlichen baulichen Anlagen,</w:t>
      </w:r>
    </w:p>
    <w:p>
      <w:pPr>
        <w:numPr>
          <w:ilvl w:val="0"/>
          <w:numId w:val="27"/>
        </w:numPr>
        <w:spacing w:after="120"/>
        <w:ind w:left="1134" w:hanging="425"/>
        <w:contextualSpacing/>
        <w:jc w:val="both"/>
        <w:rPr>
          <w:rFonts w:cs="Arial"/>
          <w:sz w:val="22"/>
          <w:szCs w:val="22"/>
        </w:rPr>
      </w:pPr>
      <w:r>
        <w:rPr>
          <w:rFonts w:cs="Arial"/>
          <w:sz w:val="22"/>
          <w:szCs w:val="22"/>
        </w:rPr>
        <w:t>Umsatzsteuer und unbare Eigenleistungen,</w:t>
      </w:r>
    </w:p>
    <w:p>
      <w:pPr>
        <w:numPr>
          <w:ilvl w:val="0"/>
          <w:numId w:val="27"/>
        </w:numPr>
        <w:spacing w:after="120"/>
        <w:ind w:left="1134" w:hanging="425"/>
        <w:contextualSpacing/>
        <w:jc w:val="both"/>
        <w:rPr>
          <w:rFonts w:cs="Arial"/>
          <w:sz w:val="22"/>
          <w:szCs w:val="22"/>
        </w:rPr>
      </w:pPr>
      <w:r>
        <w:rPr>
          <w:rFonts w:cs="Arial"/>
          <w:sz w:val="22"/>
          <w:szCs w:val="22"/>
        </w:rPr>
        <w:t>Ausgaben für Projekte, die ausschließlich wissenschaftliche Arbeiten oder Studien umfassen,</w:t>
      </w:r>
    </w:p>
    <w:p>
      <w:pPr>
        <w:numPr>
          <w:ilvl w:val="0"/>
          <w:numId w:val="27"/>
        </w:numPr>
        <w:spacing w:after="120"/>
        <w:ind w:left="1134" w:hanging="425"/>
        <w:jc w:val="both"/>
        <w:rPr>
          <w:rFonts w:cs="Arial"/>
          <w:sz w:val="22"/>
          <w:szCs w:val="22"/>
        </w:rPr>
      </w:pPr>
      <w:r>
        <w:rPr>
          <w:rFonts w:cs="Arial"/>
          <w:sz w:val="22"/>
          <w:szCs w:val="22"/>
        </w:rPr>
        <w:t>Gebühren und Auslagen des Landes, der Landkreise, Gemeinden und Ämter.</w:t>
      </w:r>
    </w:p>
    <w:p>
      <w:pPr>
        <w:numPr>
          <w:ilvl w:val="0"/>
          <w:numId w:val="27"/>
        </w:numPr>
        <w:spacing w:after="120"/>
        <w:ind w:left="1134" w:hanging="425"/>
        <w:jc w:val="both"/>
        <w:rPr>
          <w:rFonts w:cs="Arial"/>
          <w:sz w:val="22"/>
          <w:szCs w:val="22"/>
        </w:rPr>
      </w:pPr>
      <w:r>
        <w:rPr>
          <w:rFonts w:cs="Arial"/>
          <w:sz w:val="22"/>
          <w:szCs w:val="22"/>
        </w:rPr>
        <w:t>Skonti und Rabatte.</w:t>
      </w:r>
    </w:p>
    <w:p>
      <w:pPr>
        <w:spacing w:after="120"/>
        <w:ind w:left="360"/>
        <w:contextualSpacing/>
        <w:jc w:val="both"/>
        <w:rPr>
          <w:rFonts w:cs="Arial"/>
          <w:sz w:val="22"/>
          <w:szCs w:val="22"/>
        </w:rPr>
      </w:pPr>
    </w:p>
    <w:p>
      <w:pPr>
        <w:numPr>
          <w:ilvl w:val="0"/>
          <w:numId w:val="28"/>
        </w:numPr>
        <w:spacing w:after="120"/>
        <w:contextualSpacing/>
        <w:jc w:val="both"/>
        <w:rPr>
          <w:rFonts w:cs="Arial"/>
          <w:b/>
          <w:sz w:val="22"/>
          <w:szCs w:val="22"/>
        </w:rPr>
      </w:pPr>
      <w:r>
        <w:rPr>
          <w:rFonts w:cs="Arial"/>
          <w:b/>
          <w:sz w:val="22"/>
          <w:szCs w:val="22"/>
        </w:rPr>
        <w:t>Aktionsplan</w:t>
      </w:r>
    </w:p>
    <w:p>
      <w:pPr>
        <w:pStyle w:val="MfG"/>
        <w:spacing w:after="23"/>
        <w:jc w:val="both"/>
        <w:rPr>
          <w:rFonts w:cs="Arial"/>
        </w:rPr>
      </w:pPr>
      <w:r>
        <w:rPr>
          <w:rFonts w:cs="Arial"/>
        </w:rPr>
        <w:t xml:space="preserve">Eine Darstellung zur Umsetzung der Aufgaben der Zusammenarbeit/Kooperation ist in Form eines </w:t>
      </w:r>
      <w:r>
        <w:rPr>
          <w:rFonts w:cs="Arial"/>
          <w:u w:val="single"/>
        </w:rPr>
        <w:t>Aktionsplans</w:t>
      </w:r>
      <w:r>
        <w:rPr>
          <w:rFonts w:cs="Arial"/>
        </w:rPr>
        <w:t xml:space="preserve"> zur Umsetzung der eingangs aufgeführten Themenbereiche mit der Antragstellung einzureichen und muss mindestens folgende Angaben enthalten:</w:t>
      </w:r>
    </w:p>
    <w:p>
      <w:pPr>
        <w:numPr>
          <w:ilvl w:val="0"/>
          <w:numId w:val="24"/>
        </w:numPr>
        <w:ind w:left="397" w:hanging="425"/>
        <w:contextualSpacing/>
        <w:jc w:val="both"/>
        <w:rPr>
          <w:rFonts w:cs="Arial"/>
          <w:sz w:val="22"/>
          <w:szCs w:val="22"/>
        </w:rPr>
      </w:pPr>
      <w:r>
        <w:rPr>
          <w:rFonts w:cs="Arial"/>
          <w:sz w:val="22"/>
          <w:szCs w:val="22"/>
        </w:rPr>
        <w:t xml:space="preserve">Benennung des hauptverantwortlichen, vertretungsberechtigen Koordinators der Kooperation (Name des Unternehmens, Anschrift, Name des Ansprechpartners), </w:t>
      </w:r>
    </w:p>
    <w:p>
      <w:pPr>
        <w:numPr>
          <w:ilvl w:val="0"/>
          <w:numId w:val="24"/>
        </w:numPr>
        <w:ind w:left="397" w:hanging="425"/>
        <w:contextualSpacing/>
        <w:jc w:val="both"/>
        <w:rPr>
          <w:rFonts w:cs="Arial"/>
          <w:sz w:val="22"/>
          <w:szCs w:val="22"/>
        </w:rPr>
      </w:pPr>
      <w:r>
        <w:rPr>
          <w:rFonts w:cs="Arial"/>
          <w:sz w:val="22"/>
          <w:szCs w:val="22"/>
        </w:rPr>
        <w:t>Benennung (Name des Unternehmens, Anschrift) und Vorstellung der Kooperationspartner,</w:t>
      </w:r>
    </w:p>
    <w:p>
      <w:pPr>
        <w:numPr>
          <w:ilvl w:val="0"/>
          <w:numId w:val="24"/>
        </w:numPr>
        <w:ind w:left="397" w:hanging="425"/>
        <w:contextualSpacing/>
        <w:jc w:val="both"/>
        <w:rPr>
          <w:rFonts w:cs="Arial"/>
          <w:sz w:val="22"/>
          <w:szCs w:val="22"/>
        </w:rPr>
      </w:pPr>
      <w:r>
        <w:rPr>
          <w:rFonts w:cs="Arial"/>
          <w:sz w:val="22"/>
          <w:szCs w:val="22"/>
        </w:rPr>
        <w:t>Beschreibung des Projekts hinsichtlich folgender Punkte:</w:t>
      </w:r>
    </w:p>
    <w:p>
      <w:pPr>
        <w:numPr>
          <w:ilvl w:val="0"/>
          <w:numId w:val="25"/>
        </w:numPr>
        <w:ind w:left="397" w:hanging="227"/>
        <w:contextualSpacing/>
        <w:jc w:val="both"/>
        <w:rPr>
          <w:rFonts w:cs="Arial"/>
          <w:sz w:val="22"/>
          <w:szCs w:val="22"/>
        </w:rPr>
      </w:pPr>
      <w:r>
        <w:rPr>
          <w:rFonts w:cs="Arial"/>
          <w:sz w:val="22"/>
          <w:szCs w:val="22"/>
        </w:rPr>
        <w:t>Innovationsgehalt,</w:t>
      </w:r>
    </w:p>
    <w:p>
      <w:pPr>
        <w:numPr>
          <w:ilvl w:val="0"/>
          <w:numId w:val="25"/>
        </w:numPr>
        <w:ind w:left="397" w:hanging="227"/>
        <w:contextualSpacing/>
        <w:jc w:val="both"/>
        <w:rPr>
          <w:rFonts w:cs="Arial"/>
          <w:sz w:val="22"/>
          <w:szCs w:val="22"/>
        </w:rPr>
      </w:pPr>
      <w:r>
        <w:rPr>
          <w:rFonts w:cs="Arial"/>
          <w:sz w:val="22"/>
          <w:szCs w:val="22"/>
        </w:rPr>
        <w:t>Qualität / Plausibilität,</w:t>
      </w:r>
    </w:p>
    <w:p>
      <w:pPr>
        <w:numPr>
          <w:ilvl w:val="0"/>
          <w:numId w:val="25"/>
        </w:numPr>
        <w:ind w:left="397" w:hanging="227"/>
        <w:contextualSpacing/>
        <w:jc w:val="both"/>
        <w:rPr>
          <w:rFonts w:cs="Arial"/>
          <w:sz w:val="22"/>
          <w:szCs w:val="22"/>
        </w:rPr>
      </w:pPr>
      <w:r>
        <w:rPr>
          <w:rFonts w:cs="Arial"/>
          <w:sz w:val="22"/>
          <w:szCs w:val="22"/>
        </w:rPr>
        <w:t>Das Projekt ist hinreichend konkret und die Erwartung einer erfolgreichen Realisierung</w:t>
      </w:r>
    </w:p>
    <w:p>
      <w:pPr>
        <w:numPr>
          <w:ilvl w:val="0"/>
          <w:numId w:val="25"/>
        </w:numPr>
        <w:ind w:left="397" w:hanging="227"/>
        <w:contextualSpacing/>
        <w:jc w:val="both"/>
        <w:rPr>
          <w:rFonts w:cs="Arial"/>
          <w:sz w:val="22"/>
          <w:szCs w:val="22"/>
        </w:rPr>
      </w:pPr>
      <w:r>
        <w:rPr>
          <w:rFonts w:cs="Arial"/>
          <w:sz w:val="22"/>
          <w:szCs w:val="22"/>
        </w:rPr>
        <w:t>Darstellung Nutzung erwarteter Ergebnisse / Zusammenarbeit</w:t>
      </w:r>
    </w:p>
    <w:p>
      <w:pPr>
        <w:numPr>
          <w:ilvl w:val="0"/>
          <w:numId w:val="25"/>
        </w:numPr>
        <w:ind w:left="397" w:hanging="227"/>
        <w:contextualSpacing/>
        <w:jc w:val="both"/>
        <w:rPr>
          <w:rFonts w:cs="Arial"/>
          <w:sz w:val="22"/>
          <w:szCs w:val="22"/>
        </w:rPr>
      </w:pPr>
      <w:r>
        <w:rPr>
          <w:rFonts w:cs="Arial"/>
          <w:sz w:val="22"/>
          <w:szCs w:val="22"/>
        </w:rPr>
        <w:t xml:space="preserve">Wirtschaftlichkeit des Projekts / Verhältnis Kosten, </w:t>
      </w:r>
    </w:p>
    <w:p>
      <w:pPr>
        <w:numPr>
          <w:ilvl w:val="0"/>
          <w:numId w:val="24"/>
        </w:numPr>
        <w:ind w:left="397" w:hanging="425"/>
        <w:contextualSpacing/>
        <w:jc w:val="both"/>
        <w:rPr>
          <w:rFonts w:cs="Arial"/>
          <w:sz w:val="22"/>
          <w:szCs w:val="22"/>
        </w:rPr>
      </w:pPr>
      <w:r>
        <w:rPr>
          <w:rFonts w:cs="Arial"/>
          <w:sz w:val="22"/>
          <w:szCs w:val="22"/>
        </w:rPr>
        <w:t>Zeitplan für die Umsetzung mit den benannten Arbeitspaketen der jeweiligen Kooperationspartner und</w:t>
      </w:r>
    </w:p>
    <w:p>
      <w:pPr>
        <w:numPr>
          <w:ilvl w:val="0"/>
          <w:numId w:val="24"/>
        </w:numPr>
        <w:ind w:left="397" w:hanging="425"/>
        <w:jc w:val="both"/>
        <w:rPr>
          <w:rFonts w:cs="Arial"/>
          <w:sz w:val="22"/>
          <w:szCs w:val="22"/>
        </w:rPr>
      </w:pPr>
      <w:r>
        <w:rPr>
          <w:rFonts w:cs="Arial"/>
          <w:sz w:val="22"/>
          <w:szCs w:val="22"/>
        </w:rPr>
        <w:t>Finanzierungsplan mit Angaben zum geplanten zeitlichen Abruf der Zuwendung.</w:t>
      </w:r>
    </w:p>
    <w:p>
      <w:pPr>
        <w:pStyle w:val="MfG"/>
        <w:spacing w:after="23"/>
        <w:ind w:left="397"/>
        <w:jc w:val="both"/>
        <w:rPr>
          <w:rFonts w:cs="Arial"/>
        </w:rPr>
      </w:pP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 xml:space="preserve">Bei der Zusammenarbeit/Kooperation mit seinen Partnern handelt es sich um freiwillige Zusammenschlüsse.  </w:t>
      </w:r>
    </w:p>
    <w:p>
      <w:pPr>
        <w:overflowPunct/>
        <w:autoSpaceDE/>
        <w:autoSpaceDN/>
        <w:adjustRightInd/>
        <w:spacing w:line="276" w:lineRule="auto"/>
        <w:jc w:val="both"/>
        <w:textAlignment w:val="auto"/>
        <w:rPr>
          <w:rFonts w:eastAsiaTheme="minorHAnsi" w:cs="Arial"/>
          <w:sz w:val="22"/>
          <w:szCs w:val="22"/>
          <w:lang w:eastAsia="en-US"/>
        </w:rPr>
      </w:pPr>
    </w:p>
    <w:p>
      <w:pPr>
        <w:overflowPunct/>
        <w:autoSpaceDE/>
        <w:autoSpaceDN/>
        <w:adjustRightInd/>
        <w:spacing w:line="276" w:lineRule="auto"/>
        <w:jc w:val="both"/>
        <w:textAlignment w:val="auto"/>
        <w:rPr>
          <w:rFonts w:eastAsiaTheme="minorHAnsi" w:cs="Arial"/>
          <w:sz w:val="22"/>
          <w:szCs w:val="22"/>
          <w:lang w:eastAsia="en-US"/>
        </w:rPr>
      </w:pPr>
    </w:p>
    <w:p>
      <w:pPr>
        <w:overflowPunct/>
        <w:autoSpaceDE/>
        <w:autoSpaceDN/>
        <w:adjustRightInd/>
        <w:spacing w:line="276" w:lineRule="auto"/>
        <w:jc w:val="both"/>
        <w:textAlignment w:val="auto"/>
        <w:rPr>
          <w:rFonts w:eastAsiaTheme="minorHAnsi" w:cs="Arial"/>
          <w:sz w:val="22"/>
          <w:szCs w:val="22"/>
          <w:lang w:eastAsia="en-US"/>
        </w:rPr>
      </w:pPr>
    </w:p>
    <w:p>
      <w:pPr>
        <w:overflowPunct/>
        <w:autoSpaceDE/>
        <w:autoSpaceDN/>
        <w:adjustRightInd/>
        <w:spacing w:line="276" w:lineRule="auto"/>
        <w:jc w:val="both"/>
        <w:textAlignment w:val="auto"/>
        <w:rPr>
          <w:rFonts w:eastAsiaTheme="minorHAnsi" w:cs="Arial"/>
          <w:sz w:val="22"/>
          <w:szCs w:val="22"/>
          <w:lang w:eastAsia="en-US"/>
        </w:rPr>
      </w:pPr>
      <w:bookmarkStart w:id="0" w:name="_GoBack"/>
      <w:bookmarkEnd w:id="0"/>
    </w:p>
    <w:p>
      <w:pPr>
        <w:numPr>
          <w:ilvl w:val="0"/>
          <w:numId w:val="28"/>
        </w:numPr>
        <w:spacing w:after="120"/>
        <w:contextualSpacing/>
        <w:jc w:val="both"/>
        <w:rPr>
          <w:rFonts w:cs="Arial"/>
          <w:b/>
          <w:sz w:val="22"/>
          <w:szCs w:val="22"/>
        </w:rPr>
      </w:pPr>
      <w:r>
        <w:rPr>
          <w:rFonts w:cs="Arial"/>
          <w:b/>
          <w:sz w:val="22"/>
          <w:szCs w:val="22"/>
        </w:rPr>
        <w:lastRenderedPageBreak/>
        <w:t>Bewerbungsunterlagen</w:t>
      </w:r>
    </w:p>
    <w:p>
      <w:pPr>
        <w:pStyle w:val="Listenabsatz"/>
        <w:numPr>
          <w:ilvl w:val="0"/>
          <w:numId w:val="31"/>
        </w:numPr>
        <w:jc w:val="both"/>
        <w:rPr>
          <w:sz w:val="22"/>
          <w:szCs w:val="22"/>
        </w:rPr>
      </w:pPr>
      <w:r>
        <w:rPr>
          <w:sz w:val="22"/>
          <w:szCs w:val="22"/>
        </w:rPr>
        <w:t>Anschreiben</w:t>
      </w:r>
    </w:p>
    <w:p>
      <w:pPr>
        <w:overflowPunct/>
        <w:autoSpaceDE/>
        <w:autoSpaceDN/>
        <w:adjustRightInd/>
        <w:spacing w:after="60"/>
        <w:ind w:left="708"/>
        <w:jc w:val="both"/>
        <w:textAlignment w:val="auto"/>
        <w:rPr>
          <w:rFonts w:eastAsiaTheme="minorHAnsi" w:cs="Arial"/>
          <w:sz w:val="22"/>
          <w:szCs w:val="22"/>
          <w:lang w:eastAsia="en-US"/>
        </w:rPr>
      </w:pPr>
      <w:r>
        <w:rPr>
          <w:rFonts w:eastAsiaTheme="minorHAnsi" w:cs="Arial"/>
          <w:sz w:val="22"/>
          <w:szCs w:val="22"/>
          <w:lang w:eastAsia="en-US"/>
        </w:rPr>
        <w:t>In dem Anschreiben sind der Name und die Anschrift der Ansprechperson der Zusammenarbeit/Kooperation sowie die in Zusammenhang mit der Bewerbung eingereichten Unterlagen aufzuführen.</w:t>
      </w:r>
    </w:p>
    <w:p>
      <w:pPr>
        <w:pStyle w:val="Listenabsatz"/>
        <w:numPr>
          <w:ilvl w:val="0"/>
          <w:numId w:val="31"/>
        </w:numPr>
        <w:jc w:val="both"/>
        <w:rPr>
          <w:sz w:val="22"/>
          <w:szCs w:val="22"/>
        </w:rPr>
      </w:pPr>
      <w:r>
        <w:rPr>
          <w:sz w:val="22"/>
          <w:szCs w:val="22"/>
        </w:rPr>
        <w:t>Aktionsplan (wie unter Pkt. 6 Abschnitt Aktionsplan beschrieben)</w:t>
      </w:r>
    </w:p>
    <w:p>
      <w:pPr>
        <w:pStyle w:val="Listenabsatz"/>
        <w:numPr>
          <w:ilvl w:val="0"/>
          <w:numId w:val="31"/>
        </w:numPr>
        <w:jc w:val="both"/>
        <w:rPr>
          <w:sz w:val="22"/>
          <w:szCs w:val="22"/>
        </w:rPr>
      </w:pPr>
      <w:r>
        <w:rPr>
          <w:sz w:val="22"/>
          <w:szCs w:val="22"/>
        </w:rPr>
        <w:t xml:space="preserve">Mitglieder der Zusammenarbeit/Kooperation und Erklärung aller Partner zur Zusammenarbeit (Letter </w:t>
      </w:r>
      <w:proofErr w:type="spellStart"/>
      <w:r>
        <w:rPr>
          <w:sz w:val="22"/>
          <w:szCs w:val="22"/>
        </w:rPr>
        <w:t>of</w:t>
      </w:r>
      <w:proofErr w:type="spellEnd"/>
      <w:r>
        <w:rPr>
          <w:sz w:val="22"/>
          <w:szCs w:val="22"/>
        </w:rPr>
        <w:t xml:space="preserve"> </w:t>
      </w:r>
      <w:proofErr w:type="spellStart"/>
      <w:r>
        <w:rPr>
          <w:sz w:val="22"/>
          <w:szCs w:val="22"/>
        </w:rPr>
        <w:t>Intent</w:t>
      </w:r>
      <w:proofErr w:type="spellEnd"/>
      <w:r>
        <w:rPr>
          <w:sz w:val="22"/>
          <w:szCs w:val="22"/>
        </w:rPr>
        <w:t xml:space="preserve">); </w:t>
      </w:r>
    </w:p>
    <w:p>
      <w:pPr>
        <w:pStyle w:val="Listenabsatz"/>
        <w:numPr>
          <w:ilvl w:val="0"/>
          <w:numId w:val="31"/>
        </w:numPr>
        <w:spacing w:after="60"/>
        <w:jc w:val="both"/>
        <w:rPr>
          <w:sz w:val="22"/>
          <w:szCs w:val="22"/>
        </w:rPr>
      </w:pPr>
      <w:r>
        <w:rPr>
          <w:sz w:val="22"/>
          <w:szCs w:val="22"/>
        </w:rPr>
        <w:t>Grundkonzept (bis zu 10.000 Zeichen incl. Leerzeichen) mit wesentlichen Elementen der Problembeschreibung und möglichen Lösungsansätzen;</w:t>
      </w:r>
    </w:p>
    <w:p>
      <w:pPr>
        <w:pStyle w:val="Listenabsatz"/>
        <w:numPr>
          <w:ilvl w:val="0"/>
          <w:numId w:val="31"/>
        </w:numPr>
        <w:jc w:val="both"/>
        <w:rPr>
          <w:sz w:val="22"/>
          <w:szCs w:val="22"/>
        </w:rPr>
      </w:pPr>
      <w:r>
        <w:rPr>
          <w:sz w:val="22"/>
          <w:szCs w:val="22"/>
        </w:rPr>
        <w:t xml:space="preserve">Zeitplan zur inhaltlichen Problembearbeitung (Erstellung und Umsetzung des innovativen Zusammenarbeits-/ Kooperationskonzeptes); </w:t>
      </w:r>
    </w:p>
    <w:p>
      <w:pPr>
        <w:jc w:val="both"/>
        <w:rPr>
          <w:rFonts w:eastAsiaTheme="minorHAnsi"/>
          <w:sz w:val="22"/>
          <w:szCs w:val="22"/>
        </w:rPr>
      </w:pPr>
    </w:p>
    <w:p>
      <w:pPr>
        <w:overflowPunct/>
        <w:autoSpaceDE/>
        <w:autoSpaceDN/>
        <w:adjustRightInd/>
        <w:ind w:hanging="567"/>
        <w:jc w:val="both"/>
        <w:textAlignment w:val="auto"/>
        <w:rPr>
          <w:rFonts w:eastAsiaTheme="minorHAnsi" w:cs="Arial"/>
          <w:sz w:val="22"/>
          <w:szCs w:val="22"/>
          <w:lang w:eastAsia="en-US"/>
        </w:rPr>
      </w:pPr>
    </w:p>
    <w:p>
      <w:pPr>
        <w:numPr>
          <w:ilvl w:val="0"/>
          <w:numId w:val="28"/>
        </w:numPr>
        <w:overflowPunct/>
        <w:autoSpaceDE/>
        <w:autoSpaceDN/>
        <w:adjustRightInd/>
        <w:spacing w:before="120"/>
        <w:ind w:left="567" w:hanging="567"/>
        <w:contextualSpacing/>
        <w:jc w:val="both"/>
        <w:textAlignment w:val="auto"/>
        <w:rPr>
          <w:rFonts w:eastAsiaTheme="minorHAnsi" w:cs="Arial"/>
          <w:sz w:val="22"/>
          <w:szCs w:val="22"/>
          <w:lang w:eastAsia="en-US"/>
        </w:rPr>
      </w:pPr>
      <w:r>
        <w:rPr>
          <w:rFonts w:cs="Arial"/>
          <w:b/>
          <w:sz w:val="22"/>
          <w:szCs w:val="22"/>
        </w:rPr>
        <w:t>Bewerbungsverfahren</w:t>
      </w:r>
    </w:p>
    <w:p>
      <w:pPr>
        <w:overflowPunct/>
        <w:autoSpaceDE/>
        <w:autoSpaceDN/>
        <w:adjustRightInd/>
        <w:spacing w:before="120"/>
        <w:jc w:val="both"/>
        <w:textAlignment w:val="auto"/>
        <w:rPr>
          <w:rFonts w:eastAsiaTheme="minorHAnsi" w:cs="Arial"/>
          <w:sz w:val="22"/>
          <w:szCs w:val="22"/>
          <w:lang w:eastAsia="en-US"/>
        </w:rPr>
      </w:pPr>
      <w:r>
        <w:rPr>
          <w:rFonts w:eastAsiaTheme="minorHAnsi" w:cs="Arial"/>
          <w:sz w:val="22"/>
          <w:szCs w:val="22"/>
          <w:lang w:eastAsia="en-US"/>
        </w:rPr>
        <w:t xml:space="preserve">Die Bewerbungsunterlagen sind ausschließlich per Post in einem geschlossenen Kuvert mit dem Vermerk „Unterlagen zur Teilnahme am Wettbewerb „Netzwerk Solawi in Mecklenburg-Vorpommern“ bis </w:t>
      </w:r>
      <w:r>
        <w:rPr>
          <w:rFonts w:eastAsiaTheme="minorHAnsi" w:cs="Arial"/>
          <w:b/>
          <w:sz w:val="22"/>
          <w:szCs w:val="22"/>
          <w:lang w:eastAsia="en-US"/>
        </w:rPr>
        <w:t>spätestens zum 30. Oktober 2025, 24:00 Uhr</w:t>
      </w:r>
      <w:r>
        <w:rPr>
          <w:rFonts w:eastAsiaTheme="minorHAnsi" w:cs="Arial"/>
          <w:sz w:val="22"/>
          <w:szCs w:val="22"/>
          <w:lang w:eastAsia="en-US"/>
        </w:rPr>
        <w:t xml:space="preserve"> einzureichen beim:</w:t>
      </w:r>
    </w:p>
    <w:p>
      <w:pPr>
        <w:overflowPunct/>
        <w:autoSpaceDE/>
        <w:autoSpaceDN/>
        <w:adjustRightInd/>
        <w:spacing w:line="276" w:lineRule="auto"/>
        <w:jc w:val="both"/>
        <w:textAlignment w:val="auto"/>
        <w:rPr>
          <w:rFonts w:eastAsiaTheme="minorHAnsi" w:cs="Arial"/>
          <w:sz w:val="22"/>
          <w:szCs w:val="22"/>
          <w:lang w:eastAsia="en-US"/>
        </w:rPr>
      </w:pP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(Postanschrift)</w:t>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p>
    <w:p>
      <w:pPr>
        <w:overflowPunct/>
        <w:autoSpaceDE/>
        <w:autoSpaceDN/>
        <w:adjustRightInd/>
        <w:jc w:val="both"/>
        <w:textAlignment w:val="auto"/>
        <w:rPr>
          <w:rFonts w:eastAsiaTheme="minorHAnsi" w:cs="Arial"/>
          <w:sz w:val="22"/>
          <w:szCs w:val="22"/>
          <w:lang w:eastAsia="en-US"/>
        </w:rPr>
      </w:pPr>
      <w:r>
        <w:rPr>
          <w:rFonts w:eastAsiaTheme="minorHAnsi" w:cs="Arial"/>
          <w:sz w:val="22"/>
          <w:szCs w:val="22"/>
          <w:lang w:eastAsia="en-US"/>
        </w:rPr>
        <w:t>Ministerium für Klimaschutz, Landwirtschaft, ländliche Entwicklung und Umwelt M-V</w:t>
      </w:r>
      <w:r>
        <w:rPr>
          <w:rFonts w:eastAsiaTheme="minorHAnsi" w:cs="Arial"/>
          <w:sz w:val="22"/>
          <w:szCs w:val="22"/>
          <w:lang w:eastAsia="en-US"/>
        </w:rPr>
        <w:tab/>
      </w: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Postfach</w:t>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Referat 300</w:t>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19048 Schwerin</w:t>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r>
        <w:rPr>
          <w:rFonts w:eastAsiaTheme="minorHAnsi" w:cs="Arial"/>
          <w:sz w:val="22"/>
          <w:szCs w:val="22"/>
          <w:lang w:eastAsia="en-US"/>
        </w:rPr>
        <w:tab/>
      </w:r>
    </w:p>
    <w:p>
      <w:pPr>
        <w:overflowPunct/>
        <w:autoSpaceDE/>
        <w:autoSpaceDN/>
        <w:adjustRightInd/>
        <w:spacing w:line="276" w:lineRule="auto"/>
        <w:ind w:hanging="567"/>
        <w:jc w:val="both"/>
        <w:textAlignment w:val="auto"/>
        <w:rPr>
          <w:rFonts w:eastAsiaTheme="minorHAnsi" w:cs="Arial"/>
          <w:sz w:val="22"/>
          <w:szCs w:val="22"/>
          <w:lang w:eastAsia="en-US"/>
        </w:rPr>
      </w:pPr>
    </w:p>
    <w:p>
      <w:pPr>
        <w:overflowPunct/>
        <w:autoSpaceDE/>
        <w:autoSpaceDN/>
        <w:adjustRightInd/>
        <w:spacing w:line="276" w:lineRule="auto"/>
        <w:ind w:hanging="567"/>
        <w:jc w:val="both"/>
        <w:textAlignment w:val="auto"/>
        <w:rPr>
          <w:rFonts w:eastAsiaTheme="minorHAnsi" w:cs="Arial"/>
          <w:sz w:val="22"/>
          <w:szCs w:val="22"/>
          <w:lang w:eastAsia="en-US"/>
        </w:rPr>
      </w:pPr>
    </w:p>
    <w:p>
      <w:pPr>
        <w:overflowPunct/>
        <w:autoSpaceDE/>
        <w:autoSpaceDN/>
        <w:adjustRightInd/>
        <w:spacing w:line="276" w:lineRule="auto"/>
        <w:ind w:hanging="567"/>
        <w:jc w:val="both"/>
        <w:textAlignment w:val="auto"/>
        <w:rPr>
          <w:rFonts w:eastAsiaTheme="minorHAnsi" w:cs="Arial"/>
          <w:sz w:val="22"/>
          <w:szCs w:val="22"/>
          <w:lang w:eastAsia="en-US"/>
        </w:rPr>
      </w:pPr>
      <w:r>
        <w:rPr>
          <w:rFonts w:eastAsiaTheme="minorHAnsi" w:cs="Arial"/>
          <w:sz w:val="22"/>
          <w:szCs w:val="22"/>
          <w:lang w:eastAsia="en-US"/>
        </w:rPr>
        <w:tab/>
        <w:t>(Hausanschrift)</w:t>
      </w:r>
    </w:p>
    <w:p>
      <w:pPr>
        <w:overflowPunct/>
        <w:autoSpaceDE/>
        <w:autoSpaceDN/>
        <w:adjustRightInd/>
        <w:spacing w:line="276" w:lineRule="auto"/>
        <w:ind w:hanging="567"/>
        <w:jc w:val="both"/>
        <w:textAlignment w:val="auto"/>
        <w:rPr>
          <w:rFonts w:eastAsiaTheme="minorHAnsi" w:cs="Arial"/>
          <w:sz w:val="22"/>
          <w:szCs w:val="22"/>
          <w:lang w:eastAsia="en-US"/>
        </w:rPr>
      </w:pPr>
      <w:r>
        <w:rPr>
          <w:rFonts w:eastAsiaTheme="minorHAnsi" w:cs="Arial"/>
          <w:sz w:val="22"/>
          <w:szCs w:val="22"/>
          <w:lang w:eastAsia="en-US"/>
        </w:rPr>
        <w:tab/>
        <w:t>Ministerium für Klimaschutz, Landwirtschaft, ländliche Entwicklung und Umwelt M-V</w:t>
      </w:r>
    </w:p>
    <w:p>
      <w:pPr>
        <w:overflowPunct/>
        <w:autoSpaceDE/>
        <w:autoSpaceDN/>
        <w:adjustRightInd/>
        <w:spacing w:line="276" w:lineRule="auto"/>
        <w:ind w:hanging="567"/>
        <w:jc w:val="both"/>
        <w:textAlignment w:val="auto"/>
        <w:rPr>
          <w:rFonts w:eastAsiaTheme="minorHAnsi" w:cs="Arial"/>
          <w:sz w:val="22"/>
          <w:szCs w:val="22"/>
          <w:lang w:eastAsia="en-US"/>
        </w:rPr>
      </w:pPr>
      <w:r>
        <w:rPr>
          <w:rFonts w:eastAsiaTheme="minorHAnsi" w:cs="Arial"/>
          <w:sz w:val="22"/>
          <w:szCs w:val="22"/>
          <w:lang w:eastAsia="en-US"/>
        </w:rPr>
        <w:tab/>
      </w:r>
      <w:proofErr w:type="spellStart"/>
      <w:r>
        <w:rPr>
          <w:rFonts w:eastAsiaTheme="minorHAnsi" w:cs="Arial"/>
          <w:sz w:val="22"/>
          <w:szCs w:val="22"/>
          <w:lang w:eastAsia="en-US"/>
        </w:rPr>
        <w:t>Paulshöher</w:t>
      </w:r>
      <w:proofErr w:type="spellEnd"/>
      <w:r>
        <w:rPr>
          <w:rFonts w:eastAsiaTheme="minorHAnsi" w:cs="Arial"/>
          <w:sz w:val="22"/>
          <w:szCs w:val="22"/>
          <w:lang w:eastAsia="en-US"/>
        </w:rPr>
        <w:t xml:space="preserve"> Weg 1</w:t>
      </w: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Referat 300</w:t>
      </w: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19061 Schwerin</w:t>
      </w:r>
    </w:p>
    <w:p>
      <w:pPr>
        <w:overflowPunct/>
        <w:autoSpaceDE/>
        <w:autoSpaceDN/>
        <w:adjustRightInd/>
        <w:spacing w:line="276" w:lineRule="auto"/>
        <w:ind w:hanging="567"/>
        <w:jc w:val="both"/>
        <w:textAlignment w:val="auto"/>
        <w:rPr>
          <w:rFonts w:eastAsiaTheme="minorHAnsi" w:cs="Arial"/>
          <w:sz w:val="22"/>
          <w:szCs w:val="22"/>
          <w:lang w:eastAsia="en-US"/>
        </w:rPr>
      </w:pPr>
    </w:p>
    <w:p>
      <w:pPr>
        <w:overflowPunct/>
        <w:autoSpaceDE/>
        <w:autoSpaceDN/>
        <w:adjustRightInd/>
        <w:spacing w:after="120" w:line="276" w:lineRule="auto"/>
        <w:jc w:val="both"/>
        <w:textAlignment w:val="auto"/>
        <w:rPr>
          <w:rFonts w:eastAsiaTheme="minorHAnsi" w:cs="Arial"/>
          <w:sz w:val="22"/>
          <w:szCs w:val="22"/>
          <w:lang w:eastAsia="en-US"/>
        </w:rPr>
      </w:pPr>
      <w:r>
        <w:rPr>
          <w:rFonts w:eastAsiaTheme="minorHAnsi" w:cs="Arial"/>
          <w:sz w:val="22"/>
          <w:szCs w:val="22"/>
          <w:lang w:eastAsia="en-US"/>
        </w:rPr>
        <w:t>Bewerbungsunterlagen, die nach den o.g. Terminen der jeweiligen Zeitabschnitte beim LM eingehen, sind vom Wettbewerb ausgeschlossen.</w:t>
      </w:r>
    </w:p>
    <w:p>
      <w:pPr>
        <w:overflowPunct/>
        <w:autoSpaceDE/>
        <w:autoSpaceDN/>
        <w:adjustRightInd/>
        <w:spacing w:after="120" w:line="276" w:lineRule="auto"/>
        <w:jc w:val="both"/>
        <w:textAlignment w:val="auto"/>
        <w:rPr>
          <w:rFonts w:eastAsiaTheme="minorHAnsi" w:cs="Arial"/>
          <w:sz w:val="22"/>
          <w:szCs w:val="22"/>
          <w:lang w:eastAsia="en-US"/>
        </w:rPr>
      </w:pPr>
      <w:r>
        <w:rPr>
          <w:rFonts w:eastAsiaTheme="minorHAnsi" w:cs="Arial"/>
          <w:sz w:val="22"/>
          <w:szCs w:val="22"/>
          <w:lang w:eastAsia="en-US"/>
        </w:rPr>
        <w:t>Beim LM fristgerecht eingegangene Bewerbungen werden nach Ablauf der Bewerbungsfrist auf Vollständigkeit geprüft.</w:t>
      </w:r>
    </w:p>
    <w:p>
      <w:pPr>
        <w:overflowPunct/>
        <w:autoSpaceDE/>
        <w:autoSpaceDN/>
        <w:adjustRightInd/>
        <w:spacing w:after="120" w:line="276" w:lineRule="auto"/>
        <w:jc w:val="both"/>
        <w:textAlignment w:val="auto"/>
        <w:rPr>
          <w:rFonts w:eastAsiaTheme="minorHAnsi" w:cs="Arial"/>
          <w:sz w:val="22"/>
          <w:szCs w:val="22"/>
          <w:lang w:eastAsia="en-US"/>
        </w:rPr>
      </w:pPr>
      <w:r>
        <w:rPr>
          <w:rFonts w:eastAsiaTheme="minorHAnsi" w:cs="Arial"/>
          <w:sz w:val="22"/>
          <w:szCs w:val="22"/>
          <w:lang w:eastAsia="en-US"/>
        </w:rPr>
        <w:t>Fragen, die sich auf die Ausschreibung beziehen, können per E-Mail an Herrn Dr. Kai-Uwe Kachel (</w:t>
      </w:r>
      <w:hyperlink r:id="rId9" w:history="1">
        <w:r>
          <w:rPr>
            <w:rFonts w:eastAsiaTheme="minorHAnsi" w:cs="Arial"/>
            <w:color w:val="0000FF" w:themeColor="hyperlink"/>
            <w:sz w:val="22"/>
            <w:szCs w:val="22"/>
            <w:u w:val="single"/>
            <w:lang w:eastAsia="en-US"/>
          </w:rPr>
          <w:t>k.kachel@lm.mv-regierung.de</w:t>
        </w:r>
      </w:hyperlink>
      <w:r>
        <w:rPr>
          <w:rFonts w:eastAsiaTheme="minorHAnsi" w:cs="Arial"/>
          <w:sz w:val="22"/>
          <w:szCs w:val="22"/>
          <w:lang w:eastAsia="en-US"/>
        </w:rPr>
        <w:t>) oder Frau Kirsten Uhlitzsch  (</w:t>
      </w:r>
      <w:hyperlink r:id="rId10" w:history="1">
        <w:r>
          <w:rPr>
            <w:rFonts w:eastAsiaTheme="minorHAnsi" w:cs="Arial"/>
            <w:color w:val="0000FF" w:themeColor="hyperlink"/>
            <w:sz w:val="22"/>
            <w:szCs w:val="22"/>
            <w:u w:val="single"/>
            <w:lang w:eastAsia="en-US"/>
          </w:rPr>
          <w:t>k.uhlitzsch@lm.mv-regierung.de</w:t>
        </w:r>
      </w:hyperlink>
      <w:r>
        <w:rPr>
          <w:rFonts w:eastAsiaTheme="minorHAnsi" w:cs="Arial"/>
          <w:sz w:val="22"/>
          <w:szCs w:val="22"/>
          <w:lang w:eastAsia="en-US"/>
        </w:rPr>
        <w:t xml:space="preserve">) gestellt werden. </w:t>
      </w:r>
    </w:p>
    <w:p>
      <w:pPr>
        <w:overflowPunct/>
        <w:autoSpaceDE/>
        <w:autoSpaceDN/>
        <w:adjustRightInd/>
        <w:spacing w:after="120" w:line="276" w:lineRule="auto"/>
        <w:jc w:val="both"/>
        <w:textAlignment w:val="auto"/>
        <w:rPr>
          <w:rFonts w:eastAsiaTheme="minorHAnsi" w:cs="Arial"/>
          <w:sz w:val="22"/>
          <w:szCs w:val="22"/>
          <w:lang w:eastAsia="en-US"/>
        </w:rPr>
      </w:pPr>
    </w:p>
    <w:p>
      <w:pPr>
        <w:overflowPunct/>
        <w:autoSpaceDE/>
        <w:autoSpaceDN/>
        <w:adjustRightInd/>
        <w:spacing w:after="120" w:line="276" w:lineRule="auto"/>
        <w:jc w:val="both"/>
        <w:textAlignment w:val="auto"/>
        <w:rPr>
          <w:rFonts w:eastAsiaTheme="minorHAnsi" w:cs="Arial"/>
          <w:sz w:val="22"/>
          <w:szCs w:val="22"/>
          <w:lang w:eastAsia="en-US"/>
        </w:rPr>
      </w:pPr>
    </w:p>
    <w:p>
      <w:pPr>
        <w:numPr>
          <w:ilvl w:val="0"/>
          <w:numId w:val="28"/>
        </w:numPr>
        <w:overflowPunct/>
        <w:autoSpaceDE/>
        <w:autoSpaceDN/>
        <w:adjustRightInd/>
        <w:spacing w:before="120"/>
        <w:contextualSpacing/>
        <w:jc w:val="both"/>
        <w:textAlignment w:val="auto"/>
        <w:rPr>
          <w:rFonts w:eastAsiaTheme="minorHAnsi" w:cs="Arial"/>
          <w:b/>
          <w:sz w:val="22"/>
          <w:szCs w:val="22"/>
          <w:lang w:eastAsia="en-US"/>
        </w:rPr>
      </w:pPr>
      <w:r>
        <w:rPr>
          <w:rFonts w:eastAsiaTheme="minorHAnsi" w:cs="Arial"/>
          <w:b/>
          <w:sz w:val="22"/>
          <w:szCs w:val="22"/>
          <w:lang w:eastAsia="en-US"/>
        </w:rPr>
        <w:t>Auswahlverfahren</w:t>
      </w:r>
    </w:p>
    <w:p>
      <w:pPr>
        <w:overflowPunct/>
        <w:autoSpaceDE/>
        <w:autoSpaceDN/>
        <w:adjustRightInd/>
        <w:spacing w:before="120" w:after="120" w:line="276" w:lineRule="auto"/>
        <w:jc w:val="both"/>
        <w:textAlignment w:val="auto"/>
        <w:rPr>
          <w:rFonts w:eastAsiaTheme="minorHAnsi" w:cs="Arial"/>
          <w:sz w:val="22"/>
          <w:szCs w:val="22"/>
          <w:lang w:eastAsia="en-US"/>
        </w:rPr>
      </w:pPr>
      <w:r>
        <w:rPr>
          <w:rFonts w:eastAsiaTheme="minorHAnsi" w:cs="Arial"/>
          <w:sz w:val="22"/>
          <w:szCs w:val="22"/>
          <w:lang w:eastAsia="en-US"/>
        </w:rPr>
        <w:t xml:space="preserve">Die Auswahl der Kooperation erfolgt in einem zweistufigen Verfahren. Zunächst definiert das Ministerium für Klimaschutz, Landwirtschaft, ländliche Räume und Umwelt (LM) mit dieser Ausschreibung Themenbereiche, die bearbeitet werden sollen und ruft einen Wettbewerb mit einem definierten Leistungsverzeichnis aus. </w:t>
      </w:r>
    </w:p>
    <w:p>
      <w:pPr>
        <w:overflowPunct/>
        <w:autoSpaceDE/>
        <w:autoSpaceDN/>
        <w:adjustRightInd/>
        <w:spacing w:after="120" w:line="276" w:lineRule="auto"/>
        <w:jc w:val="both"/>
        <w:textAlignment w:val="auto"/>
        <w:rPr>
          <w:rFonts w:eastAsiaTheme="minorHAnsi" w:cs="Arial"/>
          <w:sz w:val="22"/>
          <w:szCs w:val="22"/>
          <w:lang w:eastAsia="en-US"/>
        </w:rPr>
      </w:pPr>
      <w:r>
        <w:rPr>
          <w:rFonts w:eastAsiaTheme="minorHAnsi" w:cs="Arial"/>
          <w:sz w:val="22"/>
          <w:szCs w:val="22"/>
          <w:lang w:eastAsia="en-US"/>
        </w:rPr>
        <w:lastRenderedPageBreak/>
        <w:t>Beim LM fristgerecht eingegangene Bewerbungen werden nach Ablauf der Bewerbungsfrist auf die Einhaltung der Antragsanforderungen geprüft und nachfolgenden Auswahlkriterien durch das LM bewertet:</w:t>
      </w:r>
    </w:p>
    <w:p>
      <w:pPr>
        <w:overflowPunct/>
        <w:autoSpaceDE/>
        <w:autoSpaceDN/>
        <w:adjustRightInd/>
        <w:spacing w:after="60" w:line="276" w:lineRule="auto"/>
        <w:jc w:val="both"/>
        <w:textAlignment w:val="auto"/>
        <w:rPr>
          <w:rFonts w:eastAsiaTheme="minorHAnsi" w:cs="Arial"/>
          <w:sz w:val="22"/>
          <w:szCs w:val="22"/>
          <w:u w:val="single"/>
          <w:lang w:eastAsia="en-US"/>
        </w:rPr>
      </w:pPr>
      <w:r>
        <w:rPr>
          <w:rFonts w:eastAsiaTheme="minorHAnsi" w:cs="Arial"/>
          <w:sz w:val="22"/>
          <w:szCs w:val="22"/>
          <w:u w:val="single"/>
          <w:lang w:eastAsia="en-US"/>
        </w:rPr>
        <w:t xml:space="preserve">Formale Kriterien: </w:t>
      </w:r>
    </w:p>
    <w:p>
      <w:pPr>
        <w:overflowPunct/>
        <w:autoSpaceDE/>
        <w:autoSpaceDN/>
        <w:adjustRightInd/>
        <w:spacing w:after="60"/>
        <w:ind w:left="567" w:hanging="567"/>
        <w:jc w:val="both"/>
        <w:textAlignment w:val="auto"/>
        <w:rPr>
          <w:rFonts w:eastAsiaTheme="minorHAnsi" w:cs="Arial"/>
          <w:sz w:val="22"/>
          <w:szCs w:val="22"/>
          <w:lang w:eastAsia="en-US"/>
        </w:rPr>
      </w:pPr>
      <w:r>
        <w:rPr>
          <w:rFonts w:eastAsiaTheme="minorHAnsi" w:cs="Arial"/>
          <w:sz w:val="22"/>
          <w:szCs w:val="22"/>
          <w:lang w:eastAsia="en-US"/>
        </w:rPr>
        <w:t>1.</w:t>
      </w:r>
      <w:r>
        <w:rPr>
          <w:rFonts w:eastAsiaTheme="minorHAnsi" w:cs="Arial"/>
          <w:sz w:val="22"/>
          <w:szCs w:val="22"/>
          <w:lang w:eastAsia="en-US"/>
        </w:rPr>
        <w:tab/>
        <w:t>Tätigkeitsbereiche der Zusammenarbeit/Kooperations-Mitglieder;</w:t>
      </w:r>
    </w:p>
    <w:p>
      <w:pPr>
        <w:overflowPunct/>
        <w:autoSpaceDE/>
        <w:autoSpaceDN/>
        <w:adjustRightInd/>
        <w:spacing w:after="60"/>
        <w:ind w:left="567" w:hanging="567"/>
        <w:jc w:val="both"/>
        <w:textAlignment w:val="auto"/>
        <w:rPr>
          <w:rFonts w:eastAsiaTheme="minorHAnsi" w:cs="Arial"/>
          <w:sz w:val="22"/>
          <w:szCs w:val="22"/>
          <w:lang w:eastAsia="en-US"/>
        </w:rPr>
      </w:pPr>
      <w:r>
        <w:rPr>
          <w:rFonts w:eastAsiaTheme="minorHAnsi" w:cs="Arial"/>
          <w:sz w:val="22"/>
          <w:szCs w:val="22"/>
          <w:lang w:eastAsia="en-US"/>
        </w:rPr>
        <w:t>2.</w:t>
      </w:r>
      <w:r>
        <w:rPr>
          <w:rFonts w:eastAsiaTheme="minorHAnsi" w:cs="Arial"/>
          <w:sz w:val="22"/>
          <w:szCs w:val="22"/>
          <w:lang w:eastAsia="en-US"/>
        </w:rPr>
        <w:tab/>
        <w:t>Anteil der Mitglieder aus Mecklenburg-Vorpommern;</w:t>
      </w:r>
    </w:p>
    <w:p>
      <w:pPr>
        <w:overflowPunct/>
        <w:autoSpaceDE/>
        <w:autoSpaceDN/>
        <w:adjustRightInd/>
        <w:spacing w:after="60"/>
        <w:ind w:left="567" w:hanging="567"/>
        <w:jc w:val="both"/>
        <w:textAlignment w:val="auto"/>
        <w:rPr>
          <w:rFonts w:eastAsiaTheme="minorHAnsi" w:cs="Arial"/>
          <w:sz w:val="22"/>
          <w:szCs w:val="22"/>
          <w:lang w:eastAsia="en-US"/>
        </w:rPr>
      </w:pPr>
      <w:r>
        <w:rPr>
          <w:rFonts w:eastAsiaTheme="minorHAnsi" w:cs="Arial"/>
          <w:sz w:val="22"/>
          <w:szCs w:val="22"/>
          <w:lang w:eastAsia="en-US"/>
        </w:rPr>
        <w:t>3.</w:t>
      </w:r>
      <w:r>
        <w:rPr>
          <w:rFonts w:eastAsiaTheme="minorHAnsi" w:cs="Arial"/>
          <w:sz w:val="22"/>
          <w:szCs w:val="22"/>
          <w:lang w:eastAsia="en-US"/>
        </w:rPr>
        <w:tab/>
        <w:t>Das Projekt leistet einen Beitrag für die Schaffung, den Aufbau und der nachhaltigen Etablierung eines praxisorientierten Netzwerkes für Solawi-Betriebe.</w:t>
      </w:r>
    </w:p>
    <w:p>
      <w:pPr>
        <w:overflowPunct/>
        <w:autoSpaceDE/>
        <w:autoSpaceDN/>
        <w:adjustRightInd/>
        <w:spacing w:after="60"/>
        <w:ind w:left="567" w:hanging="567"/>
        <w:jc w:val="both"/>
        <w:textAlignment w:val="auto"/>
        <w:rPr>
          <w:rFonts w:eastAsiaTheme="minorHAnsi" w:cs="Arial"/>
          <w:sz w:val="22"/>
          <w:szCs w:val="22"/>
          <w:lang w:eastAsia="en-US"/>
        </w:rPr>
      </w:pPr>
      <w:r>
        <w:rPr>
          <w:rFonts w:eastAsiaTheme="minorHAnsi" w:cs="Arial"/>
          <w:sz w:val="22"/>
          <w:szCs w:val="22"/>
          <w:lang w:eastAsia="en-US"/>
        </w:rPr>
        <w:t>4.</w:t>
      </w:r>
      <w:r>
        <w:rPr>
          <w:rFonts w:eastAsiaTheme="minorHAnsi" w:cs="Arial"/>
          <w:sz w:val="22"/>
          <w:szCs w:val="22"/>
          <w:lang w:eastAsia="en-US"/>
        </w:rPr>
        <w:tab/>
        <w:t xml:space="preserve">Das Projekt leistet einen Beitrag zur eingangs beschriebenen Zielstellung Netzwerk Solawi in M-V (Umfang der angestrebten Umsetzung der aufgezeigten Themenbereiche).  </w:t>
      </w:r>
    </w:p>
    <w:p>
      <w:pPr>
        <w:overflowPunct/>
        <w:autoSpaceDE/>
        <w:autoSpaceDN/>
        <w:adjustRightInd/>
        <w:spacing w:before="240" w:after="60" w:line="276" w:lineRule="auto"/>
        <w:jc w:val="both"/>
        <w:textAlignment w:val="auto"/>
        <w:rPr>
          <w:rFonts w:eastAsiaTheme="minorHAnsi" w:cs="Arial"/>
          <w:sz w:val="22"/>
          <w:szCs w:val="22"/>
          <w:u w:val="single"/>
          <w:lang w:eastAsia="en-US"/>
        </w:rPr>
      </w:pPr>
      <w:r>
        <w:rPr>
          <w:rFonts w:eastAsiaTheme="minorHAnsi" w:cs="Arial"/>
          <w:sz w:val="22"/>
          <w:szCs w:val="22"/>
          <w:u w:val="single"/>
          <w:lang w:eastAsia="en-US"/>
        </w:rPr>
        <w:t>Inhaltliche Kriterien:</w:t>
      </w:r>
    </w:p>
    <w:p>
      <w:pPr>
        <w:numPr>
          <w:ilvl w:val="0"/>
          <w:numId w:val="10"/>
        </w:numPr>
        <w:overflowPunct/>
        <w:autoSpaceDE/>
        <w:autoSpaceDN/>
        <w:adjustRightInd/>
        <w:spacing w:line="276" w:lineRule="auto"/>
        <w:ind w:left="567" w:hanging="567"/>
        <w:jc w:val="both"/>
        <w:textAlignment w:val="auto"/>
        <w:rPr>
          <w:rFonts w:eastAsiaTheme="minorHAnsi" w:cs="Arial"/>
          <w:sz w:val="22"/>
          <w:szCs w:val="22"/>
          <w:lang w:eastAsia="en-US"/>
        </w:rPr>
      </w:pPr>
      <w:r>
        <w:rPr>
          <w:rFonts w:eastAsiaTheme="minorHAnsi" w:cs="Arial"/>
          <w:sz w:val="22"/>
          <w:szCs w:val="22"/>
          <w:lang w:eastAsia="en-US"/>
        </w:rPr>
        <w:t>Innovationsgehalt;</w:t>
      </w:r>
    </w:p>
    <w:p>
      <w:pPr>
        <w:numPr>
          <w:ilvl w:val="0"/>
          <w:numId w:val="10"/>
        </w:numPr>
        <w:overflowPunct/>
        <w:autoSpaceDE/>
        <w:autoSpaceDN/>
        <w:adjustRightInd/>
        <w:spacing w:line="276" w:lineRule="auto"/>
        <w:ind w:left="567" w:hanging="567"/>
        <w:jc w:val="both"/>
        <w:textAlignment w:val="auto"/>
        <w:rPr>
          <w:rFonts w:eastAsiaTheme="minorHAnsi" w:cs="Arial"/>
          <w:sz w:val="22"/>
          <w:szCs w:val="22"/>
          <w:lang w:eastAsia="en-US"/>
        </w:rPr>
      </w:pPr>
      <w:r>
        <w:rPr>
          <w:rFonts w:eastAsiaTheme="minorHAnsi" w:cs="Arial"/>
          <w:sz w:val="22"/>
          <w:szCs w:val="22"/>
          <w:lang w:eastAsia="en-US"/>
        </w:rPr>
        <w:t>Qualität / Plausibilität;</w:t>
      </w:r>
    </w:p>
    <w:p>
      <w:pPr>
        <w:numPr>
          <w:ilvl w:val="0"/>
          <w:numId w:val="10"/>
        </w:numPr>
        <w:overflowPunct/>
        <w:autoSpaceDE/>
        <w:autoSpaceDN/>
        <w:adjustRightInd/>
        <w:spacing w:line="276" w:lineRule="auto"/>
        <w:ind w:left="567" w:hanging="567"/>
        <w:jc w:val="both"/>
        <w:textAlignment w:val="auto"/>
        <w:rPr>
          <w:rFonts w:eastAsiaTheme="minorHAnsi" w:cs="Arial"/>
          <w:sz w:val="22"/>
          <w:szCs w:val="22"/>
          <w:lang w:eastAsia="en-US"/>
        </w:rPr>
      </w:pPr>
      <w:r>
        <w:rPr>
          <w:rFonts w:cs="Arial"/>
          <w:sz w:val="22"/>
          <w:szCs w:val="22"/>
        </w:rPr>
        <w:t>Das Projekt ist hinreichend konkret und die Erwartung einer erfolgreichen Realisierung</w:t>
      </w:r>
    </w:p>
    <w:p>
      <w:pPr>
        <w:numPr>
          <w:ilvl w:val="0"/>
          <w:numId w:val="10"/>
        </w:numPr>
        <w:overflowPunct/>
        <w:autoSpaceDE/>
        <w:autoSpaceDN/>
        <w:adjustRightInd/>
        <w:spacing w:line="276" w:lineRule="auto"/>
        <w:ind w:left="567" w:hanging="567"/>
        <w:jc w:val="both"/>
        <w:textAlignment w:val="auto"/>
        <w:rPr>
          <w:rFonts w:eastAsiaTheme="minorHAnsi" w:cs="Arial"/>
          <w:sz w:val="22"/>
          <w:szCs w:val="22"/>
          <w:lang w:eastAsia="en-US"/>
        </w:rPr>
      </w:pPr>
      <w:r>
        <w:rPr>
          <w:rFonts w:cs="Arial"/>
          <w:sz w:val="22"/>
          <w:szCs w:val="22"/>
        </w:rPr>
        <w:t>Darstellung Nutzung erwarteten Ergebnisse / Zusammenarbeit</w:t>
      </w:r>
    </w:p>
    <w:p>
      <w:pPr>
        <w:numPr>
          <w:ilvl w:val="0"/>
          <w:numId w:val="10"/>
        </w:numPr>
        <w:overflowPunct/>
        <w:autoSpaceDE/>
        <w:autoSpaceDN/>
        <w:adjustRightInd/>
        <w:spacing w:line="276" w:lineRule="auto"/>
        <w:ind w:left="567" w:hanging="567"/>
        <w:jc w:val="both"/>
        <w:textAlignment w:val="auto"/>
        <w:rPr>
          <w:rFonts w:eastAsiaTheme="minorHAnsi" w:cs="Arial"/>
          <w:sz w:val="22"/>
          <w:szCs w:val="22"/>
          <w:lang w:eastAsia="en-US"/>
        </w:rPr>
      </w:pPr>
      <w:r>
        <w:rPr>
          <w:rFonts w:cs="Arial"/>
          <w:sz w:val="22"/>
          <w:szCs w:val="22"/>
        </w:rPr>
        <w:t xml:space="preserve">Wirtschaftlichkeit des Projekts / Verhältnis Kosten, </w:t>
      </w:r>
    </w:p>
    <w:p>
      <w:pPr>
        <w:spacing w:after="120"/>
        <w:jc w:val="both"/>
        <w:rPr>
          <w:rFonts w:eastAsiaTheme="minorHAnsi"/>
          <w:sz w:val="22"/>
          <w:szCs w:val="22"/>
        </w:rPr>
      </w:pPr>
    </w:p>
    <w:p>
      <w:pPr>
        <w:spacing w:after="120"/>
        <w:jc w:val="both"/>
        <w:rPr>
          <w:rFonts w:eastAsiaTheme="minorHAnsi"/>
          <w:sz w:val="22"/>
          <w:szCs w:val="22"/>
        </w:rPr>
      </w:pPr>
      <w:r>
        <w:rPr>
          <w:rFonts w:eastAsiaTheme="minorHAnsi"/>
          <w:sz w:val="22"/>
          <w:szCs w:val="22"/>
        </w:rPr>
        <w:t>Alle Wettbewerbsbeiträge, die die formalen Anforderungen erfüllen, werden bewertet und kommen grundsätzlich für eine Förderung in Frage.</w:t>
      </w:r>
    </w:p>
    <w:p>
      <w:pPr>
        <w:overflowPunct/>
        <w:autoSpaceDE/>
        <w:autoSpaceDN/>
        <w:adjustRightInd/>
        <w:spacing w:before="120" w:after="120" w:line="276" w:lineRule="auto"/>
        <w:jc w:val="both"/>
        <w:textAlignment w:val="auto"/>
        <w:rPr>
          <w:rFonts w:eastAsiaTheme="minorHAnsi" w:cs="Arial"/>
          <w:sz w:val="22"/>
          <w:szCs w:val="22"/>
          <w:lang w:eastAsia="en-US"/>
        </w:rPr>
      </w:pPr>
      <w:r>
        <w:rPr>
          <w:rFonts w:eastAsiaTheme="minorHAnsi" w:cs="Arial"/>
          <w:sz w:val="22"/>
          <w:szCs w:val="22"/>
          <w:lang w:eastAsia="en-US"/>
        </w:rPr>
        <w:t xml:space="preserve">Unter den eingegangenen Wettbewerbsbeiträgen und anhand der im Wettbewerbsaufruf veröffentlichten Auswahlkriterien wird eine Entscheidung über die Kooperation getroffen, die am besten für die Umsetzung des Leistungsverzeichnisses geeignet ist, und die Möglichkeit der Antragstellung erhält. Die Auswahl obliegt einem vom Ministerium für Klimaschutz, Landwirtschaft, ländliche Räume und Umwelt Mecklenburg-Vorpommern einberufenen Ausschuss. Der Ausschuss besteht aus Vertretern der Wirtschaft, der Sozialpartner, der Wissenschaft und der Verwaltung. </w:t>
      </w:r>
    </w:p>
    <w:p>
      <w:pPr>
        <w:overflowPunct/>
        <w:autoSpaceDE/>
        <w:autoSpaceDN/>
        <w:adjustRightInd/>
        <w:spacing w:after="120" w:line="276" w:lineRule="auto"/>
        <w:jc w:val="both"/>
        <w:textAlignment w:val="auto"/>
        <w:rPr>
          <w:rFonts w:eastAsiaTheme="minorHAnsi" w:cs="Arial"/>
          <w:sz w:val="22"/>
          <w:szCs w:val="22"/>
          <w:lang w:eastAsia="en-US"/>
        </w:rPr>
      </w:pPr>
      <w:r>
        <w:rPr>
          <w:rFonts w:eastAsiaTheme="minorHAnsi" w:cs="Arial"/>
          <w:sz w:val="22"/>
          <w:szCs w:val="22"/>
          <w:lang w:eastAsia="en-US"/>
        </w:rPr>
        <w:t>Jede Teilnehmerin / jeder Teilnehmer am Wettbewerb wird nach der Entscheidung durch das LM schriftlich darüber in Kenntnis gesetzt, ob die Zusammenarbeit/Kooperation anerkannt wird. Darüber hinaus erfolgt eine Veröffentlichung des Wettbewerbsergebnisses auf der einschlägigen Internetseite.</w:t>
      </w:r>
    </w:p>
    <w:p>
      <w:pPr>
        <w:overflowPunct/>
        <w:autoSpaceDE/>
        <w:autoSpaceDN/>
        <w:adjustRightInd/>
        <w:jc w:val="both"/>
        <w:textAlignment w:val="auto"/>
        <w:rPr>
          <w:rFonts w:eastAsiaTheme="minorHAnsi" w:cs="Arial"/>
          <w:sz w:val="22"/>
          <w:szCs w:val="22"/>
          <w:lang w:eastAsia="en-US"/>
        </w:rPr>
      </w:pPr>
      <w:r>
        <w:rPr>
          <w:rFonts w:eastAsiaTheme="minorHAnsi" w:cs="Arial"/>
          <w:sz w:val="22"/>
          <w:szCs w:val="22"/>
          <w:lang w:eastAsia="en-US"/>
        </w:rPr>
        <w:t>Gegen die Auswahlentscheidung durch den vom LM einberufenen Ausschuss können keine Rechtsmittel eingelegt werden.</w:t>
      </w:r>
    </w:p>
    <w:p>
      <w:pPr>
        <w:overflowPunct/>
        <w:autoSpaceDE/>
        <w:autoSpaceDN/>
        <w:adjustRightInd/>
        <w:jc w:val="both"/>
        <w:textAlignment w:val="auto"/>
        <w:rPr>
          <w:rFonts w:eastAsiaTheme="minorHAnsi" w:cs="Arial"/>
          <w:sz w:val="22"/>
          <w:szCs w:val="22"/>
          <w:lang w:eastAsia="en-US"/>
        </w:rPr>
      </w:pPr>
    </w:p>
    <w:p>
      <w:pPr>
        <w:spacing w:after="120"/>
        <w:jc w:val="both"/>
        <w:rPr>
          <w:b/>
          <w:sz w:val="22"/>
          <w:szCs w:val="22"/>
        </w:rPr>
      </w:pPr>
      <w:r>
        <w:rPr>
          <w:b/>
          <w:sz w:val="22"/>
          <w:szCs w:val="22"/>
        </w:rPr>
        <w:t>Sonstige Hinweise</w:t>
      </w:r>
    </w:p>
    <w:p>
      <w:pPr>
        <w:overflowPunct/>
        <w:autoSpaceDE/>
        <w:autoSpaceDN/>
        <w:adjustRightInd/>
        <w:spacing w:after="120" w:line="276" w:lineRule="auto"/>
        <w:jc w:val="both"/>
        <w:textAlignment w:val="auto"/>
        <w:rPr>
          <w:rFonts w:eastAsiaTheme="minorHAnsi" w:cs="Arial"/>
          <w:sz w:val="22"/>
          <w:szCs w:val="22"/>
          <w:lang w:eastAsia="en-US"/>
        </w:rPr>
      </w:pPr>
      <w:r>
        <w:rPr>
          <w:rFonts w:eastAsiaTheme="minorHAnsi" w:cs="Arial"/>
          <w:sz w:val="22"/>
          <w:szCs w:val="22"/>
          <w:lang w:eastAsia="en-US"/>
        </w:rPr>
        <w:t>Eingereichte Wettbewerbsunterlagen können bis zum Abschluss des Auswahlverfahrens jederzeit schriftlich zurückgezogen werden.</w:t>
      </w:r>
    </w:p>
    <w:p>
      <w:pPr>
        <w:spacing w:after="120"/>
        <w:jc w:val="both"/>
        <w:rPr>
          <w:b/>
          <w:sz w:val="22"/>
          <w:szCs w:val="22"/>
        </w:rPr>
      </w:pPr>
      <w:r>
        <w:rPr>
          <w:b/>
          <w:sz w:val="22"/>
          <w:szCs w:val="22"/>
        </w:rPr>
        <w:t>Kostenerstattung</w:t>
      </w:r>
    </w:p>
    <w:p>
      <w:pPr>
        <w:overflowPunct/>
        <w:autoSpaceDE/>
        <w:autoSpaceDN/>
        <w:adjustRightInd/>
        <w:spacing w:line="276" w:lineRule="auto"/>
        <w:jc w:val="both"/>
        <w:textAlignment w:val="auto"/>
        <w:rPr>
          <w:rFonts w:eastAsiaTheme="minorHAnsi" w:cs="Arial"/>
          <w:sz w:val="22"/>
          <w:szCs w:val="22"/>
          <w:lang w:eastAsia="en-US"/>
        </w:rPr>
      </w:pPr>
      <w:r>
        <w:rPr>
          <w:rFonts w:eastAsiaTheme="minorHAnsi" w:cs="Arial"/>
          <w:sz w:val="22"/>
          <w:szCs w:val="22"/>
          <w:lang w:eastAsia="en-US"/>
        </w:rPr>
        <w:t>Eine Erstattung von Aufwendungen für die Erstellung und Einreichung der Bewerbungsunterlagen erfolgt nicht.</w:t>
      </w:r>
    </w:p>
    <w:sectPr>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418" w:bottom="1134" w:left="1418" w:header="720" w:footer="72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135"/>
    </w:tblGrid>
    <w:tr>
      <w:tc>
        <w:tcPr>
          <w:tcW w:w="10135" w:type="dxa"/>
          <w:tcBorders>
            <w:top w:val="nil"/>
            <w:left w:val="nil"/>
            <w:bottom w:val="nil"/>
            <w:right w:val="nil"/>
          </w:tcBorders>
        </w:tcPr>
        <w:p>
          <w:pPr>
            <w:widowControl w:val="0"/>
            <w:tabs>
              <w:tab w:val="left" w:pos="2930"/>
            </w:tabs>
            <w:rPr>
              <w:bCs/>
              <w:color w:val="181512"/>
              <w:sz w:val="13"/>
              <w:szCs w:val="13"/>
              <w:u w:val="single"/>
            </w:rPr>
          </w:pPr>
          <w:r>
            <w:rPr>
              <w:bCs/>
              <w:color w:val="181512"/>
              <w:sz w:val="13"/>
              <w:szCs w:val="13"/>
            </w:rPr>
            <w:t xml:space="preserve">  </w:t>
          </w:r>
          <w:r>
            <w:rPr>
              <w:bCs/>
              <w:color w:val="181512"/>
              <w:sz w:val="13"/>
              <w:szCs w:val="13"/>
              <w:u w:val="single"/>
            </w:rPr>
            <w:t>Allgemeine Datenschutzinformation:</w:t>
          </w:r>
        </w:p>
        <w:p>
          <w:pPr>
            <w:widowControl w:val="0"/>
            <w:tabs>
              <w:tab w:val="left" w:pos="2930"/>
            </w:tabs>
            <w:rPr>
              <w:bCs/>
              <w:color w:val="181512"/>
              <w:sz w:val="13"/>
              <w:szCs w:val="13"/>
            </w:rPr>
          </w:pPr>
          <w:r>
            <w:rPr>
              <w:bCs/>
              <w:color w:val="181512"/>
              <w:sz w:val="13"/>
              <w:szCs w:val="13"/>
            </w:rPr>
            <w:t xml:space="preserve">  Der Kontakt mit dem Ministerium ist mit der Speicherung und Verarbeitung der von Ihnen ggf. mitgeteilten persönlichen Daten verbunden (Rechtsgrundlage: </w:t>
          </w:r>
        </w:p>
        <w:p>
          <w:pPr>
            <w:widowControl w:val="0"/>
            <w:tabs>
              <w:tab w:val="left" w:pos="2930"/>
            </w:tabs>
            <w:rPr>
              <w:bCs/>
              <w:color w:val="181512"/>
              <w:sz w:val="13"/>
              <w:szCs w:val="13"/>
            </w:rPr>
          </w:pPr>
          <w:r>
            <w:rPr>
              <w:bCs/>
              <w:color w:val="181512"/>
              <w:sz w:val="13"/>
              <w:szCs w:val="13"/>
            </w:rPr>
            <w:t xml:space="preserve">  Art. 6 (1) e DSGVO </w:t>
          </w:r>
          <w:proofErr w:type="spellStart"/>
          <w:r>
            <w:rPr>
              <w:bCs/>
              <w:color w:val="181512"/>
              <w:sz w:val="13"/>
              <w:szCs w:val="13"/>
            </w:rPr>
            <w:t>i.V.m</w:t>
          </w:r>
          <w:proofErr w:type="spellEnd"/>
          <w:r>
            <w:rPr>
              <w:bCs/>
              <w:color w:val="181512"/>
              <w:sz w:val="13"/>
              <w:szCs w:val="13"/>
            </w:rPr>
            <w:t>. § 4 (1) DSG M-V). Weitere Informationen erhalten Sie unter www.regierung-mv.de/Datenschutz.</w:t>
          </w:r>
        </w:p>
        <w:p>
          <w:pPr>
            <w:rPr>
              <w:sz w:val="16"/>
              <w:szCs w:val="16"/>
            </w:rPr>
          </w:pPr>
        </w:p>
        <w:tbl>
          <w:tblPr>
            <w:tblW w:w="10071" w:type="dxa"/>
            <w:tblLayout w:type="fixed"/>
            <w:tblCellMar>
              <w:left w:w="70" w:type="dxa"/>
              <w:right w:w="70" w:type="dxa"/>
            </w:tblCellMar>
            <w:tblLook w:val="04A0" w:firstRow="1" w:lastRow="0" w:firstColumn="1" w:lastColumn="0" w:noHBand="0" w:noVBand="1"/>
          </w:tblPr>
          <w:tblGrid>
            <w:gridCol w:w="5595"/>
            <w:gridCol w:w="996"/>
            <w:gridCol w:w="3480"/>
          </w:tblGrid>
          <w:tr>
            <w:tc>
              <w:tcPr>
                <w:tcW w:w="5595" w:type="dxa"/>
                <w:hideMark/>
              </w:tcPr>
              <w:p>
                <w:pPr>
                  <w:pStyle w:val="Fuzeile"/>
                  <w:tabs>
                    <w:tab w:val="left" w:pos="1206"/>
                  </w:tabs>
                  <w:rPr>
                    <w:b/>
                    <w:bCs/>
                    <w:sz w:val="16"/>
                    <w:szCs w:val="16"/>
                  </w:rPr>
                </w:pPr>
                <w:r>
                  <w:rPr>
                    <w:b/>
                    <w:bCs/>
                    <w:sz w:val="16"/>
                    <w:szCs w:val="16"/>
                  </w:rPr>
                  <w:t>Hausanschrift:</w:t>
                </w:r>
              </w:p>
              <w:p>
                <w:pPr>
                  <w:pStyle w:val="Fuzeile"/>
                  <w:tabs>
                    <w:tab w:val="left" w:pos="1206"/>
                  </w:tabs>
                  <w:rPr>
                    <w:sz w:val="16"/>
                    <w:szCs w:val="16"/>
                  </w:rPr>
                </w:pPr>
                <w:r>
                  <w:rPr>
                    <w:sz w:val="16"/>
                    <w:szCs w:val="16"/>
                  </w:rPr>
                  <w:t>Ministerium für Klimaschutz, Landwirtschaft, ländliche Räume und Umwelt Mecklenburg-Vorpommern</w:t>
                </w:r>
              </w:p>
              <w:p>
                <w:pPr>
                  <w:pStyle w:val="Fuzeile"/>
                  <w:tabs>
                    <w:tab w:val="left" w:pos="1206"/>
                  </w:tabs>
                  <w:rPr>
                    <w:sz w:val="16"/>
                    <w:szCs w:val="16"/>
                  </w:rPr>
                </w:pPr>
                <w:proofErr w:type="spellStart"/>
                <w:r>
                  <w:rPr>
                    <w:sz w:val="16"/>
                    <w:szCs w:val="16"/>
                  </w:rPr>
                  <w:t>Paulshöher</w:t>
                </w:r>
                <w:proofErr w:type="spellEnd"/>
                <w:r>
                  <w:rPr>
                    <w:sz w:val="16"/>
                    <w:szCs w:val="16"/>
                  </w:rPr>
                  <w:t xml:space="preserve"> Weg 1, 19061 Schwerin</w:t>
                </w:r>
              </w:p>
            </w:tc>
            <w:tc>
              <w:tcPr>
                <w:tcW w:w="996" w:type="dxa"/>
              </w:tcPr>
              <w:p>
                <w:pPr>
                  <w:pStyle w:val="Fuzeile"/>
                  <w:tabs>
                    <w:tab w:val="left" w:pos="639"/>
                    <w:tab w:val="left" w:pos="1206"/>
                  </w:tabs>
                  <w:rPr>
                    <w:sz w:val="16"/>
                    <w:szCs w:val="16"/>
                  </w:rPr>
                </w:pPr>
              </w:p>
            </w:tc>
            <w:tc>
              <w:tcPr>
                <w:tcW w:w="3480" w:type="dxa"/>
                <w:hideMark/>
              </w:tcPr>
              <w:p>
                <w:pPr>
                  <w:pStyle w:val="Fuzeile"/>
                  <w:tabs>
                    <w:tab w:val="left" w:pos="709"/>
                  </w:tabs>
                  <w:rPr>
                    <w:sz w:val="16"/>
                    <w:szCs w:val="16"/>
                    <w:lang w:val="it-IT"/>
                  </w:rPr>
                </w:pPr>
                <w:proofErr w:type="spellStart"/>
                <w:r>
                  <w:rPr>
                    <w:bCs/>
                    <w:sz w:val="16"/>
                    <w:szCs w:val="16"/>
                    <w:lang w:val="it-IT"/>
                  </w:rPr>
                  <w:t>Telefon</w:t>
                </w:r>
                <w:proofErr w:type="spellEnd"/>
                <w:r>
                  <w:rPr>
                    <w:bCs/>
                    <w:sz w:val="16"/>
                    <w:szCs w:val="16"/>
                    <w:lang w:val="it-IT"/>
                  </w:rPr>
                  <w:t>:</w:t>
                </w:r>
                <w:r>
                  <w:rPr>
                    <w:sz w:val="16"/>
                    <w:szCs w:val="16"/>
                    <w:lang w:val="it-IT"/>
                  </w:rPr>
                  <w:tab/>
                  <w:t>0385 588-0</w:t>
                </w:r>
              </w:p>
              <w:p>
                <w:pPr>
                  <w:pStyle w:val="Fuzeile"/>
                  <w:tabs>
                    <w:tab w:val="left" w:pos="709"/>
                  </w:tabs>
                  <w:rPr>
                    <w:sz w:val="16"/>
                    <w:szCs w:val="16"/>
                    <w:lang w:val="it-IT"/>
                  </w:rPr>
                </w:pPr>
                <w:r>
                  <w:rPr>
                    <w:bCs/>
                    <w:sz w:val="16"/>
                    <w:szCs w:val="16"/>
                    <w:lang w:val="it-IT"/>
                  </w:rPr>
                  <w:t>Telefax:</w:t>
                </w:r>
                <w:r>
                  <w:rPr>
                    <w:sz w:val="16"/>
                    <w:szCs w:val="16"/>
                    <w:lang w:val="it-IT"/>
                  </w:rPr>
                  <w:tab/>
                  <w:t>0385 588 16024</w:t>
                </w:r>
              </w:p>
              <w:p>
                <w:pPr>
                  <w:pStyle w:val="Fuzeile"/>
                  <w:tabs>
                    <w:tab w:val="left" w:pos="709"/>
                  </w:tabs>
                  <w:rPr>
                    <w:sz w:val="16"/>
                    <w:szCs w:val="16"/>
                    <w:lang w:val="it-IT"/>
                  </w:rPr>
                </w:pPr>
                <w:r>
                  <w:rPr>
                    <w:sz w:val="16"/>
                    <w:szCs w:val="16"/>
                    <w:lang w:val="it-IT"/>
                  </w:rPr>
                  <w:t xml:space="preserve">E-Mail: </w:t>
                </w:r>
                <w:r>
                  <w:rPr>
                    <w:sz w:val="16"/>
                    <w:szCs w:val="16"/>
                    <w:lang w:val="it-IT"/>
                  </w:rPr>
                  <w:tab/>
                </w:r>
                <w:hyperlink r:id="rId1" w:history="1">
                  <w:r>
                    <w:rPr>
                      <w:rStyle w:val="Hyperlink"/>
                      <w:sz w:val="16"/>
                      <w:szCs w:val="16"/>
                      <w:lang w:val="it-IT"/>
                    </w:rPr>
                    <w:t>poststelle@lm.mv-regierung.de</w:t>
                  </w:r>
                </w:hyperlink>
              </w:p>
              <w:p>
                <w:pPr>
                  <w:pStyle w:val="Fuzeile"/>
                  <w:tabs>
                    <w:tab w:val="left" w:pos="709"/>
                  </w:tabs>
                  <w:rPr>
                    <w:sz w:val="16"/>
                    <w:szCs w:val="16"/>
                    <w:lang w:val="it-IT"/>
                  </w:rPr>
                </w:pPr>
                <w:r>
                  <w:rPr>
                    <w:sz w:val="16"/>
                    <w:szCs w:val="16"/>
                    <w:lang w:val="it-IT"/>
                  </w:rPr>
                  <w:t>Internet:</w:t>
                </w:r>
                <w:r>
                  <w:rPr>
                    <w:sz w:val="16"/>
                    <w:szCs w:val="16"/>
                  </w:rPr>
                  <w:t xml:space="preserve"> </w:t>
                </w:r>
                <w:r>
                  <w:rPr>
                    <w:sz w:val="16"/>
                    <w:szCs w:val="16"/>
                  </w:rPr>
                  <w:tab/>
                  <w:t>www.mv-regierung.de</w:t>
                </w:r>
              </w:p>
            </w:tc>
          </w:tr>
        </w:tbl>
        <w:p>
          <w:pPr>
            <w:pStyle w:val="Fuzeile"/>
            <w:tabs>
              <w:tab w:val="left" w:pos="1206"/>
            </w:tabs>
            <w:rPr>
              <w:rFonts w:cs="Arial"/>
              <w:sz w:val="18"/>
              <w:szCs w:val="18"/>
              <w:lang w:val="it-IT"/>
            </w:rPr>
          </w:pPr>
        </w:p>
      </w:tc>
    </w:tr>
  </w:tbl>
  <w:p>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framePr w:w="195" w:h="2880" w:hRule="exact" w:hSpace="181" w:wrap="around" w:x="392" w:y="13949"/>
      <w:jc w:val="right"/>
      <w:textDirection w:val="btLr"/>
      <w:rPr>
        <w:color w:val="4D4D4D"/>
      </w:rPr>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2D9"/>
    <w:multiLevelType w:val="hybridMultilevel"/>
    <w:tmpl w:val="4BFA1E90"/>
    <w:lvl w:ilvl="0" w:tplc="38D8178C">
      <w:start w:val="1"/>
      <w:numFmt w:val="bullet"/>
      <w:lvlText w:val="-"/>
      <w:lvlJc w:val="left"/>
      <w:pPr>
        <w:ind w:left="1854" w:hanging="360"/>
      </w:pPr>
      <w:rPr>
        <w:rFonts w:ascii="Arial" w:hAnsi="Aria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0957119B"/>
    <w:multiLevelType w:val="hybridMultilevel"/>
    <w:tmpl w:val="472A6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3C3A39"/>
    <w:multiLevelType w:val="hybridMultilevel"/>
    <w:tmpl w:val="A47E1E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F021B2"/>
    <w:multiLevelType w:val="hybridMultilevel"/>
    <w:tmpl w:val="D6447F8E"/>
    <w:lvl w:ilvl="0" w:tplc="8966A58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4" w15:restartNumberingAfterBreak="0">
    <w:nsid w:val="124A6225"/>
    <w:multiLevelType w:val="hybridMultilevel"/>
    <w:tmpl w:val="331CFF50"/>
    <w:lvl w:ilvl="0" w:tplc="044A0398">
      <w:start w:val="3"/>
      <w:numFmt w:val="upperRoman"/>
      <w:lvlText w:val="%1."/>
      <w:lvlJc w:val="left"/>
      <w:pPr>
        <w:ind w:left="1425" w:hanging="720"/>
      </w:pPr>
      <w:rPr>
        <w:rFonts w:hint="default"/>
        <w:b/>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1FA36B3D"/>
    <w:multiLevelType w:val="hybridMultilevel"/>
    <w:tmpl w:val="AAF650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724BE5"/>
    <w:multiLevelType w:val="hybridMultilevel"/>
    <w:tmpl w:val="6FFA69CA"/>
    <w:lvl w:ilvl="0" w:tplc="87E01398">
      <w:start w:val="14"/>
      <w:numFmt w:val="bullet"/>
      <w:lvlText w:val="-"/>
      <w:lvlJc w:val="left"/>
      <w:pPr>
        <w:ind w:left="720" w:hanging="360"/>
      </w:pPr>
      <w:rPr>
        <w:rFonts w:ascii="Arial" w:eastAsiaTheme="minorHAnsi" w:hAnsi="Arial" w:cs="Arial" w:hint="default"/>
      </w:rPr>
    </w:lvl>
    <w:lvl w:ilvl="1" w:tplc="87E01398">
      <w:start w:val="1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E09CD"/>
    <w:multiLevelType w:val="hybridMultilevel"/>
    <w:tmpl w:val="E73A451A"/>
    <w:lvl w:ilvl="0" w:tplc="9ABEF3E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3A3F24"/>
    <w:multiLevelType w:val="hybridMultilevel"/>
    <w:tmpl w:val="305E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D33820"/>
    <w:multiLevelType w:val="hybridMultilevel"/>
    <w:tmpl w:val="F092A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2A2D13"/>
    <w:multiLevelType w:val="hybridMultilevel"/>
    <w:tmpl w:val="DF02CD7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792D66"/>
    <w:multiLevelType w:val="multilevel"/>
    <w:tmpl w:val="79A0727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B01A66"/>
    <w:multiLevelType w:val="hybridMultilevel"/>
    <w:tmpl w:val="ED94E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041F8"/>
    <w:multiLevelType w:val="hybridMultilevel"/>
    <w:tmpl w:val="0F625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606F1D"/>
    <w:multiLevelType w:val="hybridMultilevel"/>
    <w:tmpl w:val="5C685D18"/>
    <w:lvl w:ilvl="0" w:tplc="27D20364">
      <w:start w:val="1"/>
      <w:numFmt w:val="decimal"/>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38DF0431"/>
    <w:multiLevelType w:val="hybridMultilevel"/>
    <w:tmpl w:val="DD524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F2A55"/>
    <w:multiLevelType w:val="hybridMultilevel"/>
    <w:tmpl w:val="07523D1A"/>
    <w:lvl w:ilvl="0" w:tplc="87E01398">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714FF0"/>
    <w:multiLevelType w:val="hybridMultilevel"/>
    <w:tmpl w:val="F9EC6A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EA22E8"/>
    <w:multiLevelType w:val="hybridMultilevel"/>
    <w:tmpl w:val="05F6F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C23BE5"/>
    <w:multiLevelType w:val="hybridMultilevel"/>
    <w:tmpl w:val="5FC6A5B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B4267F9"/>
    <w:multiLevelType w:val="hybridMultilevel"/>
    <w:tmpl w:val="7B805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997B9F"/>
    <w:multiLevelType w:val="hybridMultilevel"/>
    <w:tmpl w:val="9DEE201A"/>
    <w:lvl w:ilvl="0" w:tplc="DC9E45AE">
      <w:start w:val="1"/>
      <w:numFmt w:val="upperRoman"/>
      <w:lvlText w:val="%1."/>
      <w:lvlJc w:val="left"/>
      <w:pPr>
        <w:ind w:left="1425" w:hanging="720"/>
      </w:pPr>
      <w:rPr>
        <w:rFonts w:hint="default"/>
        <w:b/>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2" w15:restartNumberingAfterBreak="0">
    <w:nsid w:val="504955C7"/>
    <w:multiLevelType w:val="hybridMultilevel"/>
    <w:tmpl w:val="8A8A7390"/>
    <w:lvl w:ilvl="0" w:tplc="0407000F">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BB9208D"/>
    <w:multiLevelType w:val="multilevel"/>
    <w:tmpl w:val="5FFEFA92"/>
    <w:lvl w:ilvl="0">
      <w:start w:val="1"/>
      <w:numFmt w:val="decimal"/>
      <w:lvlText w:val="%1"/>
      <w:lvlJc w:val="left"/>
      <w:pPr>
        <w:ind w:left="1440" w:hanging="360"/>
      </w:pPr>
      <w:rPr>
        <w:rFonts w:hint="default"/>
      </w:rPr>
    </w:lvl>
    <w:lvl w:ilvl="1">
      <w:start w:val="1"/>
      <w:numFmt w:val="bullet"/>
      <w:lvlText w:val=""/>
      <w:lvlJc w:val="left"/>
      <w:pPr>
        <w:ind w:left="2130" w:hanging="69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67212B95"/>
    <w:multiLevelType w:val="hybridMultilevel"/>
    <w:tmpl w:val="586E02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E4272B"/>
    <w:multiLevelType w:val="hybridMultilevel"/>
    <w:tmpl w:val="24FE73A8"/>
    <w:lvl w:ilvl="0" w:tplc="0407000F">
      <w:start w:val="1"/>
      <w:numFmt w:val="decimal"/>
      <w:lvlText w:val="%1."/>
      <w:lvlJc w:val="left"/>
      <w:pPr>
        <w:ind w:left="3552" w:hanging="360"/>
      </w:pPr>
      <w:rPr>
        <w:rFonts w:hint="default"/>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6E4B7EDF"/>
    <w:multiLevelType w:val="hybridMultilevel"/>
    <w:tmpl w:val="6E68E872"/>
    <w:lvl w:ilvl="0" w:tplc="140A301A">
      <w:start w:val="1"/>
      <w:numFmt w:val="lowerLetter"/>
      <w:lvlText w:val="%1)"/>
      <w:lvlJc w:val="left"/>
      <w:pPr>
        <w:ind w:left="927" w:hanging="360"/>
      </w:pPr>
      <w:rPr>
        <w:rFonts w:ascii="Arial" w:eastAsia="Times New Roman" w:hAnsi="Arial" w:cs="Arial"/>
      </w:rPr>
    </w:lvl>
    <w:lvl w:ilvl="1" w:tplc="04070003">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72E809C5"/>
    <w:multiLevelType w:val="hybridMultilevel"/>
    <w:tmpl w:val="6E68E872"/>
    <w:lvl w:ilvl="0" w:tplc="140A301A">
      <w:start w:val="1"/>
      <w:numFmt w:val="lowerLetter"/>
      <w:lvlText w:val="%1)"/>
      <w:lvlJc w:val="left"/>
      <w:pPr>
        <w:ind w:left="927" w:hanging="360"/>
      </w:pPr>
      <w:rPr>
        <w:rFonts w:ascii="Arial" w:eastAsia="Times New Roman" w:hAnsi="Arial" w:cs="Arial"/>
      </w:rPr>
    </w:lvl>
    <w:lvl w:ilvl="1" w:tplc="04070003">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7944027A"/>
    <w:multiLevelType w:val="hybridMultilevel"/>
    <w:tmpl w:val="2A14C2C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E60008"/>
    <w:multiLevelType w:val="hybridMultilevel"/>
    <w:tmpl w:val="A9968F2C"/>
    <w:lvl w:ilvl="0" w:tplc="04070017">
      <w:start w:val="1"/>
      <w:numFmt w:val="lowerLetter"/>
      <w:lvlText w:val="%1)"/>
      <w:lvlJc w:val="left"/>
      <w:pPr>
        <w:ind w:left="1245" w:hanging="360"/>
      </w:pPr>
    </w:lvl>
    <w:lvl w:ilvl="1" w:tplc="04070019" w:tentative="1">
      <w:start w:val="1"/>
      <w:numFmt w:val="lowerLetter"/>
      <w:lvlText w:val="%2."/>
      <w:lvlJc w:val="left"/>
      <w:pPr>
        <w:ind w:left="1965" w:hanging="360"/>
      </w:pPr>
    </w:lvl>
    <w:lvl w:ilvl="2" w:tplc="0407001B" w:tentative="1">
      <w:start w:val="1"/>
      <w:numFmt w:val="lowerRoman"/>
      <w:lvlText w:val="%3."/>
      <w:lvlJc w:val="right"/>
      <w:pPr>
        <w:ind w:left="2685" w:hanging="180"/>
      </w:pPr>
    </w:lvl>
    <w:lvl w:ilvl="3" w:tplc="0407000F" w:tentative="1">
      <w:start w:val="1"/>
      <w:numFmt w:val="decimal"/>
      <w:lvlText w:val="%4."/>
      <w:lvlJc w:val="left"/>
      <w:pPr>
        <w:ind w:left="3405" w:hanging="360"/>
      </w:pPr>
    </w:lvl>
    <w:lvl w:ilvl="4" w:tplc="04070019" w:tentative="1">
      <w:start w:val="1"/>
      <w:numFmt w:val="lowerLetter"/>
      <w:lvlText w:val="%5."/>
      <w:lvlJc w:val="left"/>
      <w:pPr>
        <w:ind w:left="4125" w:hanging="360"/>
      </w:pPr>
    </w:lvl>
    <w:lvl w:ilvl="5" w:tplc="0407001B" w:tentative="1">
      <w:start w:val="1"/>
      <w:numFmt w:val="lowerRoman"/>
      <w:lvlText w:val="%6."/>
      <w:lvlJc w:val="right"/>
      <w:pPr>
        <w:ind w:left="4845" w:hanging="180"/>
      </w:pPr>
    </w:lvl>
    <w:lvl w:ilvl="6" w:tplc="0407000F" w:tentative="1">
      <w:start w:val="1"/>
      <w:numFmt w:val="decimal"/>
      <w:lvlText w:val="%7."/>
      <w:lvlJc w:val="left"/>
      <w:pPr>
        <w:ind w:left="5565" w:hanging="360"/>
      </w:pPr>
    </w:lvl>
    <w:lvl w:ilvl="7" w:tplc="04070019" w:tentative="1">
      <w:start w:val="1"/>
      <w:numFmt w:val="lowerLetter"/>
      <w:lvlText w:val="%8."/>
      <w:lvlJc w:val="left"/>
      <w:pPr>
        <w:ind w:left="6285" w:hanging="360"/>
      </w:pPr>
    </w:lvl>
    <w:lvl w:ilvl="8" w:tplc="0407001B" w:tentative="1">
      <w:start w:val="1"/>
      <w:numFmt w:val="lowerRoman"/>
      <w:lvlText w:val="%9."/>
      <w:lvlJc w:val="right"/>
      <w:pPr>
        <w:ind w:left="7005" w:hanging="180"/>
      </w:pPr>
    </w:lvl>
  </w:abstractNum>
  <w:num w:numId="1">
    <w:abstractNumId w:val="1"/>
  </w:num>
  <w:num w:numId="2">
    <w:abstractNumId w:val="2"/>
  </w:num>
  <w:num w:numId="3">
    <w:abstractNumId w:val="21"/>
  </w:num>
  <w:num w:numId="4">
    <w:abstractNumId w:val="16"/>
  </w:num>
  <w:num w:numId="5">
    <w:abstractNumId w:val="7"/>
  </w:num>
  <w:num w:numId="6">
    <w:abstractNumId w:val="8"/>
  </w:num>
  <w:num w:numId="7">
    <w:abstractNumId w:val="15"/>
  </w:num>
  <w:num w:numId="8">
    <w:abstractNumId w:val="22"/>
  </w:num>
  <w:num w:numId="9">
    <w:abstractNumId w:val="23"/>
  </w:num>
  <w:num w:numId="10">
    <w:abstractNumId w:val="14"/>
  </w:num>
  <w:num w:numId="11">
    <w:abstractNumId w:val="25"/>
  </w:num>
  <w:num w:numId="12">
    <w:abstractNumId w:val="4"/>
  </w:num>
  <w:num w:numId="13">
    <w:abstractNumId w:val="9"/>
  </w:num>
  <w:num w:numId="14">
    <w:abstractNumId w:val="3"/>
  </w:num>
  <w:num w:numId="15">
    <w:abstractNumId w:val="20"/>
  </w:num>
  <w:num w:numId="16">
    <w:abstractNumId w:val="26"/>
  </w:num>
  <w:num w:numId="17">
    <w:abstractNumId w:val="28"/>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29"/>
  </w:num>
  <w:num w:numId="23">
    <w:abstractNumId w:val="10"/>
  </w:num>
  <w:num w:numId="24">
    <w:abstractNumId w:val="5"/>
  </w:num>
  <w:num w:numId="25">
    <w:abstractNumId w:val="0"/>
  </w:num>
  <w:num w:numId="26">
    <w:abstractNumId w:val="19"/>
  </w:num>
  <w:num w:numId="27">
    <w:abstractNumId w:val="17"/>
  </w:num>
  <w:num w:numId="28">
    <w:abstractNumId w:val="11"/>
  </w:num>
  <w:num w:numId="29">
    <w:abstractNumId w:val="27"/>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DOMEA_Autotext_elements"/>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docId w15:val="{B1EF6D6A-2D79-4431-A90B-812D256C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fG">
    <w:name w:val="MfG"/>
    <w:basedOn w:val="Standard"/>
    <w:qFormat/>
    <w:pPr>
      <w:overflowPunct/>
      <w:autoSpaceDE/>
      <w:autoSpaceDN/>
      <w:adjustRightInd/>
      <w:spacing w:after="960" w:line="276" w:lineRule="auto"/>
      <w:textAlignment w:val="auto"/>
    </w:pPr>
    <w:rPr>
      <w:rFonts w:eastAsia="Calibri"/>
      <w:sz w:val="22"/>
      <w:szCs w:val="22"/>
      <w:lang w:eastAsia="en-US"/>
    </w:rPr>
  </w:style>
  <w:style w:type="paragraph" w:styleId="Textkrper">
    <w:name w:val="Body Text"/>
    <w:basedOn w:val="Standard"/>
    <w:link w:val="TextkrperZchn"/>
    <w:unhideWhenUsed/>
    <w:pPr>
      <w:framePr w:w="3033" w:h="1196" w:wrap="notBeside" w:vAnchor="page" w:hAnchor="page" w:x="1419" w:y="15282" w:anchorLock="1"/>
      <w:widowControl w:val="0"/>
      <w:tabs>
        <w:tab w:val="left" w:pos="2930"/>
      </w:tabs>
      <w:overflowPunct/>
      <w:spacing w:line="200" w:lineRule="exact"/>
      <w:ind w:right="6"/>
      <w:textAlignment w:val="auto"/>
    </w:pPr>
    <w:rPr>
      <w:color w:val="181512"/>
      <w:sz w:val="15"/>
    </w:rPr>
  </w:style>
  <w:style w:type="character" w:customStyle="1" w:styleId="TextkrperZchn">
    <w:name w:val="Textkörper Zchn"/>
    <w:basedOn w:val="Absatz-Standardschriftart"/>
    <w:link w:val="Textkrper"/>
    <w:rPr>
      <w:rFonts w:ascii="Arial" w:hAnsi="Arial"/>
      <w:color w:val="181512"/>
      <w:sz w:val="15"/>
    </w:rPr>
  </w:style>
  <w:style w:type="character" w:styleId="Hyperlink">
    <w:name w:val="Hyperlink"/>
    <w:basedOn w:val="Absatz-Standardschriftart"/>
    <w:uiPriority w:val="99"/>
    <w:unhideWhenUsed/>
    <w:rPr>
      <w:rFonts w:ascii="Verdana" w:hAnsi="Verdana" w:cs="Verdana" w:hint="default"/>
      <w:strike w:val="0"/>
      <w:dstrike w:val="0"/>
      <w:color w:val="auto"/>
      <w:spacing w:val="0"/>
      <w:u w:val="none"/>
      <w:effect w:val="none"/>
    </w:rPr>
  </w:style>
  <w:style w:type="character" w:customStyle="1" w:styleId="FuzeileZchn">
    <w:name w:val="Fußzeile Zchn"/>
    <w:basedOn w:val="Absatz-Standardschriftart"/>
    <w:link w:val="Fuzeile"/>
    <w:uiPriority w:val="99"/>
    <w:rPr>
      <w:rFonts w:ascii="Arial" w:hAnsi="Arial"/>
      <w:sz w:val="24"/>
    </w:rPr>
  </w:style>
  <w:style w:type="paragraph" w:styleId="Listenabsatz">
    <w:name w:val="List Paragraph"/>
    <w:basedOn w:val="Standard"/>
    <w:uiPriority w:val="34"/>
    <w:qFormat/>
    <w:pPr>
      <w:overflowPunct/>
      <w:autoSpaceDE/>
      <w:autoSpaceDN/>
      <w:adjustRightInd/>
      <w:spacing w:line="276" w:lineRule="auto"/>
      <w:ind w:left="720"/>
      <w:contextualSpacing/>
      <w:textAlignment w:val="auto"/>
    </w:pPr>
    <w:rPr>
      <w:rFonts w:eastAsiaTheme="minorHAnsi" w:cs="Arial"/>
      <w:szCs w:val="24"/>
      <w:lang w:eastAsia="en-US"/>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5300">
      <w:bodyDiv w:val="1"/>
      <w:marLeft w:val="0"/>
      <w:marRight w:val="0"/>
      <w:marTop w:val="0"/>
      <w:marBottom w:val="0"/>
      <w:divBdr>
        <w:top w:val="none" w:sz="0" w:space="0" w:color="auto"/>
        <w:left w:val="none" w:sz="0" w:space="0" w:color="auto"/>
        <w:bottom w:val="none" w:sz="0" w:space="0" w:color="auto"/>
        <w:right w:val="none" w:sz="0" w:space="0" w:color="auto"/>
      </w:divBdr>
    </w:div>
    <w:div w:id="717364247">
      <w:bodyDiv w:val="1"/>
      <w:marLeft w:val="0"/>
      <w:marRight w:val="0"/>
      <w:marTop w:val="0"/>
      <w:marBottom w:val="0"/>
      <w:divBdr>
        <w:top w:val="none" w:sz="0" w:space="0" w:color="auto"/>
        <w:left w:val="none" w:sz="0" w:space="0" w:color="auto"/>
        <w:bottom w:val="none" w:sz="0" w:space="0" w:color="auto"/>
        <w:right w:val="none" w:sz="0" w:space="0" w:color="auto"/>
      </w:divBdr>
    </w:div>
    <w:div w:id="962073870">
      <w:bodyDiv w:val="1"/>
      <w:marLeft w:val="0"/>
      <w:marRight w:val="0"/>
      <w:marTop w:val="0"/>
      <w:marBottom w:val="0"/>
      <w:divBdr>
        <w:top w:val="none" w:sz="0" w:space="0" w:color="auto"/>
        <w:left w:val="none" w:sz="0" w:space="0" w:color="auto"/>
        <w:bottom w:val="none" w:sz="0" w:space="0" w:color="auto"/>
        <w:right w:val="none" w:sz="0" w:space="0" w:color="auto"/>
      </w:divBdr>
    </w:div>
    <w:div w:id="1355231119">
      <w:bodyDiv w:val="1"/>
      <w:marLeft w:val="0"/>
      <w:marRight w:val="0"/>
      <w:marTop w:val="0"/>
      <w:marBottom w:val="0"/>
      <w:divBdr>
        <w:top w:val="none" w:sz="0" w:space="0" w:color="auto"/>
        <w:left w:val="none" w:sz="0" w:space="0" w:color="auto"/>
        <w:bottom w:val="none" w:sz="0" w:space="0" w:color="auto"/>
        <w:right w:val="none" w:sz="0" w:space="0" w:color="auto"/>
      </w:divBdr>
    </w:div>
    <w:div w:id="16590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kuhnert@lm.mv-regierung.de" TargetMode="External"/><Relationship Id="rId4" Type="http://schemas.openxmlformats.org/officeDocument/2006/relationships/settings" Target="settings.xml"/><Relationship Id="rId9" Type="http://schemas.openxmlformats.org/officeDocument/2006/relationships/hyperlink" Target="mailto:k.kachel@lm.mv-regierung.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oststelle@lm.mv-regier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CCD-Gruppe\DOMEA\Vorlagen\Kopfbogen%20LU%20all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9207-C85D-4F6A-BCC3-D1482EC3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LU allg.dotx</Template>
  <TotalTime>0</TotalTime>
  <Pages>6</Pages>
  <Words>1692</Words>
  <Characters>12894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Ministerium für</vt:lpstr>
    </vt:vector>
  </TitlesOfParts>
  <Company>LM M-V</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dc:title>
  <dc:creator>fm</dc:creator>
  <cp:lastModifiedBy>VI-300c (Frau Uhlitzsch)</cp:lastModifiedBy>
  <cp:revision>15</cp:revision>
  <cp:lastPrinted>2019-08-06T11:36:00Z</cp:lastPrinted>
  <dcterms:created xsi:type="dcterms:W3CDTF">2025-09-03T14:45:00Z</dcterms:created>
  <dcterms:modified xsi:type="dcterms:W3CDTF">2025-09-10T12:47:00Z</dcterms:modified>
</cp:coreProperties>
</file>